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5A0C" w:rsidRDefault="00E05A0C" w:rsidP="00E05A0C">
      <w:pPr>
        <w:spacing w:before="0"/>
        <w:rPr>
          <w:rFonts w:ascii="Century Gothic" w:hAnsi="Century Gothic"/>
        </w:rPr>
      </w:pPr>
    </w:p>
    <w:p w:rsidR="00E05A0C" w:rsidRDefault="00E05A0C" w:rsidP="00E05A0C">
      <w:pPr>
        <w:spacing w:before="0"/>
        <w:rPr>
          <w:rFonts w:ascii="Century Gothic" w:hAnsi="Century Gothic"/>
        </w:rPr>
      </w:pPr>
    </w:p>
    <w:p w:rsidR="00E05A0C" w:rsidRPr="00E05A0C" w:rsidRDefault="00E05A0C" w:rsidP="00E05A0C">
      <w:pPr>
        <w:spacing w:before="0"/>
        <w:rPr>
          <w:rFonts w:ascii="Century Gothic" w:hAnsi="Century Gothic"/>
        </w:rPr>
      </w:pPr>
    </w:p>
    <w:p w:rsidR="00E05A0C" w:rsidRPr="00E05A0C" w:rsidRDefault="00E05A0C" w:rsidP="00E05A0C">
      <w:pPr>
        <w:spacing w:before="0"/>
        <w:rPr>
          <w:rFonts w:ascii="Century Gothic" w:hAnsi="Century Gothic"/>
        </w:rPr>
      </w:pPr>
    </w:p>
    <w:p w:rsidR="003A2508" w:rsidRPr="00E05A0C" w:rsidRDefault="00E86537" w:rsidP="00437593">
      <w:pPr>
        <w:spacing w:before="0"/>
        <w:rPr>
          <w:rFonts w:ascii="Century Gothic" w:hAnsi="Century Gothic"/>
        </w:rPr>
      </w:pPr>
      <w:r>
        <w:rPr>
          <w:noProof/>
          <w:lang w:eastAsia="es-ES"/>
        </w:rPr>
        <mc:AlternateContent>
          <mc:Choice Requires="wps">
            <w:drawing>
              <wp:anchor distT="0" distB="0" distL="114300" distR="114300" simplePos="0" relativeHeight="251661312" behindDoc="0" locked="0" layoutInCell="1" allowOverlap="1" wp14:anchorId="59043D67" wp14:editId="12B46EAA">
                <wp:simplePos x="0" y="0"/>
                <wp:positionH relativeFrom="column">
                  <wp:posOffset>3489908</wp:posOffset>
                </wp:positionH>
                <wp:positionV relativeFrom="paragraph">
                  <wp:posOffset>2168885</wp:posOffset>
                </wp:positionV>
                <wp:extent cx="1553840" cy="1828800"/>
                <wp:effectExtent l="0" t="0" r="0" b="0"/>
                <wp:wrapNone/>
                <wp:docPr id="12" name="Cuadro de texto 12"/>
                <wp:cNvGraphicFramePr/>
                <a:graphic xmlns:a="http://schemas.openxmlformats.org/drawingml/2006/main">
                  <a:graphicData uri="http://schemas.microsoft.com/office/word/2010/wordprocessingShape">
                    <wps:wsp>
                      <wps:cNvSpPr txBox="1"/>
                      <wps:spPr>
                        <a:xfrm>
                          <a:off x="0" y="0"/>
                          <a:ext cx="1553840" cy="1828800"/>
                        </a:xfrm>
                        <a:prstGeom prst="rect">
                          <a:avLst/>
                        </a:prstGeom>
                        <a:noFill/>
                        <a:ln w="6350">
                          <a:noFill/>
                        </a:ln>
                      </wps:spPr>
                      <wps:txbx>
                        <w:txbxContent>
                          <w:p w:rsidR="00437593" w:rsidRPr="00426038" w:rsidRDefault="00437593" w:rsidP="00437593">
                            <w:pPr>
                              <w:rPr>
                                <w:rStyle w:val="Ttulodellibro"/>
                                <w:b w:val="0"/>
                                <w:sz w:val="24"/>
                              </w:rPr>
                            </w:pPr>
                            <w:r w:rsidRPr="00426038">
                              <w:rPr>
                                <w:rStyle w:val="Ttulodellibro"/>
                                <w:b w:val="0"/>
                                <w:sz w:val="24"/>
                              </w:rPr>
                              <w:t>Revista imaginaria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9043D67" id="_x0000_t202" coordsize="21600,21600" o:spt="202" path="m,l,21600r21600,l21600,xe">
                <v:stroke joinstyle="miter"/>
                <v:path gradientshapeok="t" o:connecttype="rect"/>
              </v:shapetype>
              <v:shape id="Cuadro de texto 12" o:spid="_x0000_s1026" type="#_x0000_t202" style="position:absolute;margin-left:274.8pt;margin-top:170.8pt;width:122.35pt;height:2in;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" filled="f" stroked="f" strokeweight=".5pt">
                <v:textbox style="mso-fit-shape-to-text:t">
                  <w:txbxContent>
                    <w:p w:rsidR="00437593" w:rsidRPr="00426038" w:rsidRDefault="00437593" w:rsidP="00437593">
                      <w:pPr>
                        <w:rPr>
                          <w:rStyle w:val="Ttulodellibro"/>
                          <w:b w:val="0"/>
                          <w:sz w:val="24"/>
                        </w:rPr>
                      </w:pPr>
                      <w:r w:rsidRPr="00426038">
                        <w:rPr>
                          <w:rStyle w:val="Ttulodellibro"/>
                          <w:b w:val="0"/>
                          <w:sz w:val="24"/>
                        </w:rPr>
                        <w:t>Revista imaginaria</w:t>
                      </w:r>
                    </w:p>
                  </w:txbxContent>
                </v:textbox>
              </v:shape>
            </w:pict>
          </mc:Fallback>
        </mc:AlternateContent>
      </w:r>
      <w:r>
        <w:rPr>
          <w:noProof/>
          <w:lang w:eastAsia="es-ES"/>
        </w:rPr>
        <mc:AlternateContent>
          <mc:Choice Requires="wps">
            <w:drawing>
              <wp:anchor distT="0" distB="0" distL="114300" distR="114300" simplePos="0" relativeHeight="251659264" behindDoc="0" locked="0" layoutInCell="1" allowOverlap="1" wp14:anchorId="62FA34FD" wp14:editId="33CFA6C7">
                <wp:simplePos x="0" y="0"/>
                <wp:positionH relativeFrom="column">
                  <wp:posOffset>3131</wp:posOffset>
                </wp:positionH>
                <wp:positionV relativeFrom="paragraph">
                  <wp:posOffset>-27940</wp:posOffset>
                </wp:positionV>
                <wp:extent cx="2449830" cy="1828800"/>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2449830" cy="1828800"/>
                        </a:xfrm>
                        <a:prstGeom prst="rect">
                          <a:avLst/>
                        </a:prstGeom>
                        <a:noFill/>
                        <a:ln w="6350">
                          <a:noFill/>
                        </a:ln>
                      </wps:spPr>
                      <wps:txbx>
                        <w:txbxContent>
                          <w:p w:rsidR="00437593" w:rsidRPr="00426038" w:rsidRDefault="00437593" w:rsidP="00437593">
                            <w:pPr>
                              <w:spacing w:before="0"/>
                              <w:rPr>
                                <w:rStyle w:val="Ttulodellibro"/>
                              </w:rPr>
                            </w:pPr>
                            <w:r w:rsidRPr="00426038">
                              <w:rPr>
                                <w:rStyle w:val="Ttulodellibro"/>
                              </w:rPr>
                              <w:t>Cine y cultura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62FA34FD" id="Cuadro de texto 1" o:spid="_x0000_s1027" type="#_x0000_t202" style="position:absolute;margin-left:.25pt;margin-top:-2.2pt;width:192.9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" filled="f" stroked="f" strokeweight=".5pt">
                <v:textbox style="mso-fit-shape-to-text:t">
                  <w:txbxContent>
                    <w:p w:rsidR="00437593" w:rsidRPr="00426038" w:rsidRDefault="00437593" w:rsidP="00437593">
                      <w:pPr>
                        <w:spacing w:before="0"/>
                        <w:rPr>
                          <w:rStyle w:val="Ttulodellibro"/>
                        </w:rPr>
                      </w:pPr>
                      <w:r w:rsidRPr="00426038">
                        <w:rPr>
                          <w:rStyle w:val="Ttulodellibro"/>
                        </w:rPr>
                        <w:t>Cine y cultura</w:t>
                      </w:r>
                    </w:p>
                  </w:txbxContent>
                </v:textbox>
              </v:shape>
            </w:pict>
          </mc:Fallback>
        </mc:AlternateContent>
      </w:r>
      <w:r w:rsidR="00E9487C" w:rsidRPr="00437593">
        <w:rPr>
          <w:rFonts w:ascii="Century Gothic" w:hAnsi="Century Gothic"/>
          <w:noProof/>
          <w:color w:val="FFFFFF" w:themeColor="background1"/>
          <w:sz w:val="24"/>
          <w:lang w:eastAsia="es-ES"/>
        </w:rPr>
        <w:drawing>
          <wp:inline distT="0" distB="0" distL="0" distR="0">
            <wp:extent cx="5032800" cy="2552888"/>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ultura_del_cine_y_video_documental.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032800" cy="2552888"/>
                    </a:xfrm>
                    <a:prstGeom prst="rect">
                      <a:avLst/>
                    </a:prstGeom>
                  </pic:spPr>
                </pic:pic>
              </a:graphicData>
            </a:graphic>
          </wp:inline>
        </w:drawing>
      </w:r>
    </w:p>
    <w:p w:rsidR="00437593" w:rsidRPr="00E05A0C" w:rsidRDefault="00437593" w:rsidP="00437593">
      <w:pPr>
        <w:spacing w:before="0"/>
        <w:rPr>
          <w:rFonts w:ascii="Century Gothic" w:hAnsi="Century Gothic"/>
        </w:rPr>
      </w:pPr>
      <w:r w:rsidRPr="00437593">
        <w:rPr>
          <w:rFonts w:ascii="Century Gothic" w:hAnsi="Century Gothic"/>
          <w:noProof/>
          <w:sz w:val="24"/>
          <w:lang w:eastAsia="es-ES"/>
        </w:rPr>
        <w:drawing>
          <wp:inline distT="0" distB="0" distL="0" distR="0" wp14:anchorId="79FE6025">
            <wp:extent cx="2516400" cy="1276444"/>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ultura_del_cine_y_video_documental.jpg"/>
                    <pic:cNvPicPr/>
                  </pic:nvPicPr>
                  <pic:blipFill>
                    <a:blip r:embed="rId8" cstate="print">
                      <a:duotone>
                        <a:prstClr val="black"/>
                        <a:schemeClr val="accent5">
                          <a:tint val="45000"/>
                          <a:satMod val="400000"/>
                        </a:schemeClr>
                      </a:duotone>
                      <a:extLst>
                        <a:ext uri="{28A0092B-C50C-407E-A947-70E740481C1C}">
                          <a14:useLocalDpi xmlns:a14="http://schemas.microsoft.com/office/drawing/2010/main" val="0"/>
                        </a:ext>
                      </a:extLst>
                    </a:blip>
                    <a:stretch>
                      <a:fillRect/>
                    </a:stretch>
                  </pic:blipFill>
                  <pic:spPr>
                    <a:xfrm>
                      <a:off x="0" y="0"/>
                      <a:ext cx="2516400" cy="1276444"/>
                    </a:xfrm>
                    <a:prstGeom prst="rect">
                      <a:avLst/>
                    </a:prstGeom>
                  </pic:spPr>
                </pic:pic>
              </a:graphicData>
            </a:graphic>
          </wp:inline>
        </w:drawing>
      </w:r>
      <w:r w:rsidRPr="00437593">
        <w:rPr>
          <w:rFonts w:ascii="Century Gothic" w:hAnsi="Century Gothic"/>
          <w:noProof/>
          <w:sz w:val="24"/>
          <w:lang w:eastAsia="es-ES"/>
        </w:rPr>
        <w:drawing>
          <wp:inline distT="0" distB="0" distL="0" distR="0" wp14:anchorId="2AC2A994" wp14:editId="08F05827">
            <wp:extent cx="2516400" cy="1276444"/>
            <wp:effectExtent l="0" t="0" r="0" b="0"/>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ultura_del_cine_y_video_documental.jpg"/>
                    <pic:cNvPicPr/>
                  </pic:nvPicPr>
                  <pic:blipFill>
                    <a:blip r:embed="rId8" cstate="print">
                      <a:duotone>
                        <a:prstClr val="black"/>
                        <a:schemeClr val="accent2">
                          <a:tint val="45000"/>
                          <a:satMod val="400000"/>
                        </a:schemeClr>
                      </a:duotone>
                      <a:extLst>
                        <a:ext uri="{28A0092B-C50C-407E-A947-70E740481C1C}">
                          <a14:useLocalDpi xmlns:a14="http://schemas.microsoft.com/office/drawing/2010/main" val="0"/>
                        </a:ext>
                      </a:extLst>
                    </a:blip>
                    <a:stretch>
                      <a:fillRect/>
                    </a:stretch>
                  </pic:blipFill>
                  <pic:spPr>
                    <a:xfrm flipH="1">
                      <a:off x="0" y="0"/>
                      <a:ext cx="2516400" cy="1276444"/>
                    </a:xfrm>
                    <a:prstGeom prst="rect">
                      <a:avLst/>
                    </a:prstGeom>
                  </pic:spPr>
                </pic:pic>
              </a:graphicData>
            </a:graphic>
          </wp:inline>
        </w:drawing>
      </w:r>
    </w:p>
    <w:p w:rsidR="00DC203E" w:rsidRPr="00E05A0C" w:rsidRDefault="00DC203E" w:rsidP="00DC203E">
      <w:pPr>
        <w:spacing w:before="0"/>
        <w:rPr>
          <w:rFonts w:ascii="Century Gothic" w:hAnsi="Century Gothic"/>
        </w:rPr>
      </w:pPr>
      <w:r w:rsidRPr="00437593">
        <w:rPr>
          <w:rFonts w:ascii="Century Gothic" w:hAnsi="Century Gothic"/>
          <w:noProof/>
          <w:sz w:val="24"/>
          <w:lang w:eastAsia="es-ES"/>
        </w:rPr>
        <w:drawing>
          <wp:inline distT="0" distB="0" distL="0" distR="0" wp14:anchorId="6B7FD267" wp14:editId="21B7B4D4">
            <wp:extent cx="2516400" cy="1276444"/>
            <wp:effectExtent l="0" t="0" r="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ultura_del_cine_y_video_documental.jpg"/>
                    <pic:cNvPicPr/>
                  </pic:nvPicPr>
                  <pic:blipFill>
                    <a:blip r:embed="rId8" cstate="print">
                      <a:duotone>
                        <a:prstClr val="black"/>
                        <a:schemeClr val="accent4">
                          <a:tint val="45000"/>
                          <a:satMod val="400000"/>
                        </a:schemeClr>
                      </a:duotone>
                      <a:extLst>
                        <a:ext uri="{28A0092B-C50C-407E-A947-70E740481C1C}">
                          <a14:useLocalDpi xmlns:a14="http://schemas.microsoft.com/office/drawing/2010/main" val="0"/>
                        </a:ext>
                      </a:extLst>
                    </a:blip>
                    <a:stretch>
                      <a:fillRect/>
                    </a:stretch>
                  </pic:blipFill>
                  <pic:spPr>
                    <a:xfrm flipH="1">
                      <a:off x="0" y="0"/>
                      <a:ext cx="2516400" cy="1276444"/>
                    </a:xfrm>
                    <a:prstGeom prst="rect">
                      <a:avLst/>
                    </a:prstGeom>
                  </pic:spPr>
                </pic:pic>
              </a:graphicData>
            </a:graphic>
          </wp:inline>
        </w:drawing>
      </w:r>
      <w:r w:rsidRPr="00437593">
        <w:rPr>
          <w:rFonts w:ascii="Century Gothic" w:hAnsi="Century Gothic"/>
          <w:noProof/>
          <w:sz w:val="24"/>
          <w:lang w:eastAsia="es-ES"/>
        </w:rPr>
        <w:drawing>
          <wp:inline distT="0" distB="0" distL="0" distR="0" wp14:anchorId="1FA0E2CA" wp14:editId="7A291494">
            <wp:extent cx="2516400" cy="1276444"/>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ultura_del_cine_y_video_documental.jpg"/>
                    <pic:cNvPicPr/>
                  </pic:nvPicPr>
                  <pic:blipFill>
                    <a:blip r:embed="rId8" cstate="print">
                      <a:duotone>
                        <a:prstClr val="black"/>
                        <a:schemeClr val="accent6">
                          <a:tint val="45000"/>
                          <a:satMod val="400000"/>
                        </a:schemeClr>
                      </a:duotone>
                      <a:extLst>
                        <a:ext uri="{28A0092B-C50C-407E-A947-70E740481C1C}">
                          <a14:useLocalDpi xmlns:a14="http://schemas.microsoft.com/office/drawing/2010/main" val="0"/>
                        </a:ext>
                      </a:extLst>
                    </a:blip>
                    <a:stretch>
                      <a:fillRect/>
                    </a:stretch>
                  </pic:blipFill>
                  <pic:spPr>
                    <a:xfrm>
                      <a:off x="0" y="0"/>
                      <a:ext cx="2516400" cy="1276444"/>
                    </a:xfrm>
                    <a:prstGeom prst="rect">
                      <a:avLst/>
                    </a:prstGeom>
                  </pic:spPr>
                </pic:pic>
              </a:graphicData>
            </a:graphic>
          </wp:inline>
        </w:drawing>
      </w:r>
    </w:p>
    <w:p w:rsidR="00DC203E" w:rsidRPr="00E05A0C" w:rsidRDefault="00DD39B3" w:rsidP="00DC203E">
      <w:pPr>
        <w:spacing w:before="0"/>
        <w:rPr>
          <w:rFonts w:ascii="Century Gothic" w:hAnsi="Century Gothic"/>
        </w:rPr>
      </w:pPr>
      <w:r>
        <w:rPr>
          <w:noProof/>
          <w:lang w:eastAsia="es-ES"/>
        </w:rPr>
        <mc:AlternateContent>
          <mc:Choice Requires="wps">
            <w:drawing>
              <wp:anchor distT="0" distB="0" distL="114300" distR="114300" simplePos="0" relativeHeight="251663360" behindDoc="0" locked="0" layoutInCell="1" allowOverlap="1" wp14:anchorId="56D03EC3" wp14:editId="0E04ABF0">
                <wp:simplePos x="0" y="0"/>
                <wp:positionH relativeFrom="column">
                  <wp:posOffset>1713865</wp:posOffset>
                </wp:positionH>
                <wp:positionV relativeFrom="paragraph">
                  <wp:posOffset>1239064</wp:posOffset>
                </wp:positionV>
                <wp:extent cx="1613042" cy="1828800"/>
                <wp:effectExtent l="0" t="0" r="0" b="0"/>
                <wp:wrapNone/>
                <wp:docPr id="2" name="Cuadro de texto 2"/>
                <wp:cNvGraphicFramePr/>
                <a:graphic xmlns:a="http://schemas.openxmlformats.org/drawingml/2006/main">
                  <a:graphicData uri="http://schemas.microsoft.com/office/word/2010/wordprocessingShape">
                    <wps:wsp>
                      <wps:cNvSpPr txBox="1"/>
                      <wps:spPr>
                        <a:xfrm>
                          <a:off x="0" y="0"/>
                          <a:ext cx="1613042" cy="1828800"/>
                        </a:xfrm>
                        <a:prstGeom prst="rect">
                          <a:avLst/>
                        </a:prstGeom>
                        <a:noFill/>
                        <a:ln w="6350">
                          <a:noFill/>
                        </a:ln>
                      </wps:spPr>
                      <wps:txbx>
                        <w:txbxContent>
                          <w:p w:rsidR="00DD39B3" w:rsidRPr="00426038" w:rsidRDefault="00DD39B3" w:rsidP="00DC203E">
                            <w:pPr>
                              <w:spacing w:before="0"/>
                              <w:jc w:val="center"/>
                              <w:rPr>
                                <w:rStyle w:val="Ttulodellibro"/>
                                <w:b w:val="0"/>
                                <w:sz w:val="22"/>
                              </w:rPr>
                            </w:pPr>
                            <w:r w:rsidRPr="00426038">
                              <w:rPr>
                                <w:rStyle w:val="Ttulodellibro"/>
                                <w:b w:val="0"/>
                                <w:sz w:val="22"/>
                              </w:rPr>
                              <w:t>año XII – número 7</w:t>
                            </w:r>
                          </w:p>
                          <w:p w:rsidR="00365C15" w:rsidRDefault="00365C15" w:rsidP="00365C15">
                            <w:pPr>
                              <w:spacing w:before="0"/>
                              <w:jc w:val="center"/>
                              <w:rPr>
                                <w:rFonts w:ascii="Century Gothic" w:hAnsi="Century Gothic"/>
                                <w:i/>
                                <w:color w:val="F2F2F2" w:themeColor="background1" w:themeShade="F2"/>
                                <w:sz w:val="18"/>
                              </w:rPr>
                            </w:pPr>
                          </w:p>
                          <w:p w:rsidR="001E09C8" w:rsidRPr="00E05A0C" w:rsidRDefault="00DD39B3" w:rsidP="00365C15">
                            <w:pPr>
                              <w:spacing w:before="0"/>
                              <w:jc w:val="center"/>
                              <w:rPr>
                                <w:rStyle w:val="Ttulodellibro"/>
                                <w:b w:val="0"/>
                                <w:sz w:val="18"/>
                              </w:rPr>
                            </w:pPr>
                            <w:r w:rsidRPr="00E05A0C">
                              <w:rPr>
                                <w:rStyle w:val="Ttulodellibro"/>
                                <w:b w:val="0"/>
                                <w:sz w:val="18"/>
                              </w:rPr>
                              <w:t xml:space="preserve">Editor imaginario: </w:t>
                            </w:r>
                          </w:p>
                          <w:p w:rsidR="00DD39B3" w:rsidRPr="000A3DE2" w:rsidRDefault="00DD39B3" w:rsidP="009B6098">
                            <w:pPr>
                              <w:spacing w:before="60"/>
                              <w:jc w:val="center"/>
                              <w:rPr>
                                <w:rStyle w:val="Ttulodellibro"/>
                                <w:b w:val="0"/>
                                <w:i/>
                                <w:sz w:val="18"/>
                              </w:rPr>
                            </w:pPr>
                            <w:r w:rsidRPr="000A3DE2">
                              <w:rPr>
                                <w:rStyle w:val="Ttulodellibro"/>
                                <w:b w:val="0"/>
                                <w:i/>
                                <w:sz w:val="18"/>
                              </w:rPr>
                              <w:t>Rafael Roca</w:t>
                            </w:r>
                          </w:p>
                          <w:p w:rsidR="00365C15" w:rsidRPr="00E05A0C" w:rsidRDefault="00365C15" w:rsidP="00365C15">
                            <w:pPr>
                              <w:spacing w:before="0"/>
                              <w:jc w:val="center"/>
                              <w:rPr>
                                <w:rStyle w:val="Ttulodellibro"/>
                                <w:b w:val="0"/>
                                <w:sz w:val="18"/>
                              </w:rPr>
                            </w:pPr>
                          </w:p>
                          <w:p w:rsidR="009B6098" w:rsidRPr="00E05A0C" w:rsidRDefault="009B6098" w:rsidP="00365C15">
                            <w:pPr>
                              <w:spacing w:before="0"/>
                              <w:jc w:val="center"/>
                              <w:rPr>
                                <w:rStyle w:val="Ttulodellibro"/>
                                <w:b w:val="0"/>
                                <w:sz w:val="24"/>
                              </w:rPr>
                            </w:pPr>
                            <w:r w:rsidRPr="00E05A0C">
                              <w:rPr>
                                <w:rStyle w:val="Ttulodellibro"/>
                                <w:b w:val="0"/>
                                <w:sz w:val="24"/>
                              </w:rPr>
                              <w:t>2020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6D03EC3" id="Cuadro de texto 2" o:spid="_x0000_s1028" type="#_x0000_t202" style="position:absolute;margin-left:134.95pt;margin-top:97.55pt;width:127pt;height:2in;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" filled="f" stroked="f" strokeweight=".5pt">
                <v:textbox style="mso-fit-shape-to-text:t">
                  <w:txbxContent>
                    <w:p w:rsidR="00DD39B3" w:rsidRPr="00426038" w:rsidRDefault="00DD39B3" w:rsidP="00DC203E">
                      <w:pPr>
                        <w:spacing w:before="0"/>
                        <w:jc w:val="center"/>
                        <w:rPr>
                          <w:rStyle w:val="Ttulodellibro"/>
                          <w:b w:val="0"/>
                          <w:sz w:val="22"/>
                        </w:rPr>
                      </w:pPr>
                      <w:r w:rsidRPr="00426038">
                        <w:rPr>
                          <w:rStyle w:val="Ttulodellibro"/>
                          <w:b w:val="0"/>
                          <w:sz w:val="22"/>
                        </w:rPr>
                        <w:t>año XII – número 7</w:t>
                      </w:r>
                    </w:p>
                    <w:p w:rsidR="00365C15" w:rsidRDefault="00365C15" w:rsidP="00365C15">
                      <w:pPr>
                        <w:spacing w:before="0"/>
                        <w:jc w:val="center"/>
                        <w:rPr>
                          <w:rFonts w:ascii="Century Gothic" w:hAnsi="Century Gothic"/>
                          <w:i/>
                          <w:color w:val="F2F2F2" w:themeColor="background1" w:themeShade="F2"/>
                          <w:sz w:val="18"/>
                        </w:rPr>
                      </w:pPr>
                    </w:p>
                    <w:p w:rsidR="001E09C8" w:rsidRPr="00E05A0C" w:rsidRDefault="00DD39B3" w:rsidP="00365C15">
                      <w:pPr>
                        <w:spacing w:before="0"/>
                        <w:jc w:val="center"/>
                        <w:rPr>
                          <w:rStyle w:val="Ttulodellibro"/>
                          <w:b w:val="0"/>
                          <w:sz w:val="18"/>
                        </w:rPr>
                      </w:pPr>
                      <w:r w:rsidRPr="00E05A0C">
                        <w:rPr>
                          <w:rStyle w:val="Ttulodellibro"/>
                          <w:b w:val="0"/>
                          <w:sz w:val="18"/>
                        </w:rPr>
                        <w:t xml:space="preserve">Editor imaginario: </w:t>
                      </w:r>
                    </w:p>
                    <w:p w:rsidR="00DD39B3" w:rsidRPr="000A3DE2" w:rsidRDefault="00DD39B3" w:rsidP="009B6098">
                      <w:pPr>
                        <w:spacing w:before="60"/>
                        <w:jc w:val="center"/>
                        <w:rPr>
                          <w:rStyle w:val="Ttulodellibro"/>
                          <w:b w:val="0"/>
                          <w:i/>
                          <w:sz w:val="18"/>
                        </w:rPr>
                      </w:pPr>
                      <w:r w:rsidRPr="000A3DE2">
                        <w:rPr>
                          <w:rStyle w:val="Ttulodellibro"/>
                          <w:b w:val="0"/>
                          <w:i/>
                          <w:sz w:val="18"/>
                        </w:rPr>
                        <w:t>Rafael Roca</w:t>
                      </w:r>
                    </w:p>
                    <w:p w:rsidR="00365C15" w:rsidRPr="00E05A0C" w:rsidRDefault="00365C15" w:rsidP="00365C15">
                      <w:pPr>
                        <w:spacing w:before="0"/>
                        <w:jc w:val="center"/>
                        <w:rPr>
                          <w:rStyle w:val="Ttulodellibro"/>
                          <w:b w:val="0"/>
                          <w:sz w:val="18"/>
                        </w:rPr>
                      </w:pPr>
                    </w:p>
                    <w:p w:rsidR="009B6098" w:rsidRPr="00E05A0C" w:rsidRDefault="009B6098" w:rsidP="00365C15">
                      <w:pPr>
                        <w:spacing w:before="0"/>
                        <w:jc w:val="center"/>
                        <w:rPr>
                          <w:rStyle w:val="Ttulodellibro"/>
                          <w:b w:val="0"/>
                          <w:sz w:val="24"/>
                        </w:rPr>
                      </w:pPr>
                      <w:r w:rsidRPr="00E05A0C">
                        <w:rPr>
                          <w:rStyle w:val="Ttulodellibro"/>
                          <w:b w:val="0"/>
                          <w:sz w:val="24"/>
                        </w:rPr>
                        <w:t>2020</w:t>
                      </w:r>
                    </w:p>
                  </w:txbxContent>
                </v:textbox>
              </v:shape>
            </w:pict>
          </mc:Fallback>
        </mc:AlternateContent>
      </w:r>
      <w:r w:rsidR="00DC203E" w:rsidRPr="00437593">
        <w:rPr>
          <w:rFonts w:ascii="Century Gothic" w:hAnsi="Century Gothic"/>
          <w:noProof/>
          <w:sz w:val="24"/>
          <w:lang w:eastAsia="es-ES"/>
        </w:rPr>
        <w:drawing>
          <wp:inline distT="0" distB="0" distL="0" distR="0" wp14:anchorId="0C7E85CD" wp14:editId="6CDFB740">
            <wp:extent cx="2516400" cy="1276444"/>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ultura_del_cine_y_video_documental.jpg"/>
                    <pic:cNvPicPr/>
                  </pic:nvPicPr>
                  <pic:blipFill>
                    <a:blip r:embed="rId8" cstate="print">
                      <a:duotone>
                        <a:prstClr val="black"/>
                        <a:srgbClr val="00B0F0">
                          <a:tint val="45000"/>
                          <a:satMod val="400000"/>
                        </a:srgbClr>
                      </a:duotone>
                      <a:extLst>
                        <a:ext uri="{28A0092B-C50C-407E-A947-70E740481C1C}">
                          <a14:useLocalDpi xmlns:a14="http://schemas.microsoft.com/office/drawing/2010/main" val="0"/>
                        </a:ext>
                      </a:extLst>
                    </a:blip>
                    <a:stretch>
                      <a:fillRect/>
                    </a:stretch>
                  </pic:blipFill>
                  <pic:spPr>
                    <a:xfrm>
                      <a:off x="0" y="0"/>
                      <a:ext cx="2516400" cy="1276444"/>
                    </a:xfrm>
                    <a:prstGeom prst="rect">
                      <a:avLst/>
                    </a:prstGeom>
                  </pic:spPr>
                </pic:pic>
              </a:graphicData>
            </a:graphic>
          </wp:inline>
        </w:drawing>
      </w:r>
      <w:r w:rsidR="00DC203E" w:rsidRPr="00437593">
        <w:rPr>
          <w:rFonts w:ascii="Century Gothic" w:hAnsi="Century Gothic"/>
          <w:noProof/>
          <w:sz w:val="24"/>
          <w:lang w:eastAsia="es-ES"/>
        </w:rPr>
        <w:drawing>
          <wp:inline distT="0" distB="0" distL="0" distR="0" wp14:anchorId="49AD72C5" wp14:editId="1E18CBCE">
            <wp:extent cx="2516400" cy="1276444"/>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ultura_del_cine_y_video_documental.jpg"/>
                    <pic:cNvPicPr/>
                  </pic:nvPicPr>
                  <pic:blipFill>
                    <a:blip r:embed="rId8" cstate="print">
                      <a:duotone>
                        <a:prstClr val="black"/>
                        <a:srgbClr val="FF0000">
                          <a:tint val="45000"/>
                          <a:satMod val="400000"/>
                        </a:srgbClr>
                      </a:duotone>
                      <a:extLst>
                        <a:ext uri="{28A0092B-C50C-407E-A947-70E740481C1C}">
                          <a14:useLocalDpi xmlns:a14="http://schemas.microsoft.com/office/drawing/2010/main" val="0"/>
                        </a:ext>
                      </a:extLst>
                    </a:blip>
                    <a:stretch>
                      <a:fillRect/>
                    </a:stretch>
                  </pic:blipFill>
                  <pic:spPr>
                    <a:xfrm flipH="1">
                      <a:off x="0" y="0"/>
                      <a:ext cx="2516400" cy="1276444"/>
                    </a:xfrm>
                    <a:prstGeom prst="rect">
                      <a:avLst/>
                    </a:prstGeom>
                  </pic:spPr>
                </pic:pic>
              </a:graphicData>
            </a:graphic>
          </wp:inline>
        </w:drawing>
      </w:r>
      <w:r w:rsidR="00DC203E" w:rsidRPr="00437593">
        <w:rPr>
          <w:rFonts w:ascii="Century Gothic" w:hAnsi="Century Gothic"/>
          <w:noProof/>
          <w:sz w:val="24"/>
          <w:lang w:eastAsia="es-ES"/>
        </w:rPr>
        <w:drawing>
          <wp:inline distT="0" distB="0" distL="0" distR="0" wp14:anchorId="56B5E667" wp14:editId="1B54EDD0">
            <wp:extent cx="2516400" cy="1276444"/>
            <wp:effectExtent l="0" t="0" r="0"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ultura_del_cine_y_video_documental.jpg"/>
                    <pic:cNvPicPr/>
                  </pic:nvPicPr>
                  <pic:blipFill>
                    <a:blip r:embed="rId8" cstate="print">
                      <a:duotone>
                        <a:prstClr val="black"/>
                        <a:schemeClr val="accent4">
                          <a:lumMod val="20000"/>
                          <a:lumOff val="80000"/>
                          <a:tint val="45000"/>
                          <a:satMod val="400000"/>
                        </a:schemeClr>
                      </a:duotone>
                      <a:extLst>
                        <a:ext uri="{28A0092B-C50C-407E-A947-70E740481C1C}">
                          <a14:useLocalDpi xmlns:a14="http://schemas.microsoft.com/office/drawing/2010/main" val="0"/>
                        </a:ext>
                      </a:extLst>
                    </a:blip>
                    <a:stretch>
                      <a:fillRect/>
                    </a:stretch>
                  </pic:blipFill>
                  <pic:spPr>
                    <a:xfrm flipH="1">
                      <a:off x="0" y="0"/>
                      <a:ext cx="2516400" cy="1276444"/>
                    </a:xfrm>
                    <a:prstGeom prst="rect">
                      <a:avLst/>
                    </a:prstGeom>
                  </pic:spPr>
                </pic:pic>
              </a:graphicData>
            </a:graphic>
          </wp:inline>
        </w:drawing>
      </w:r>
      <w:r w:rsidR="00DC203E" w:rsidRPr="00437593">
        <w:rPr>
          <w:rFonts w:ascii="Century Gothic" w:hAnsi="Century Gothic"/>
          <w:noProof/>
          <w:sz w:val="24"/>
          <w:lang w:eastAsia="es-ES"/>
        </w:rPr>
        <w:drawing>
          <wp:inline distT="0" distB="0" distL="0" distR="0" wp14:anchorId="57029D81" wp14:editId="1A61317C">
            <wp:extent cx="2516400" cy="1276444"/>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ultura_del_cine_y_video_documental.jpg"/>
                    <pic:cNvPicPr/>
                  </pic:nvPicPr>
                  <pic:blipFill>
                    <a:blip r:embed="rId8" cstate="print">
                      <a:duotone>
                        <a:prstClr val="black"/>
                        <a:schemeClr val="accent6">
                          <a:lumMod val="20000"/>
                          <a:lumOff val="80000"/>
                          <a:tint val="45000"/>
                          <a:satMod val="400000"/>
                        </a:schemeClr>
                      </a:duotone>
                      <a:extLst>
                        <a:ext uri="{28A0092B-C50C-407E-A947-70E740481C1C}">
                          <a14:useLocalDpi xmlns:a14="http://schemas.microsoft.com/office/drawing/2010/main" val="0"/>
                        </a:ext>
                      </a:extLst>
                    </a:blip>
                    <a:stretch>
                      <a:fillRect/>
                    </a:stretch>
                  </pic:blipFill>
                  <pic:spPr>
                    <a:xfrm>
                      <a:off x="0" y="0"/>
                      <a:ext cx="2516400" cy="1276444"/>
                    </a:xfrm>
                    <a:prstGeom prst="rect">
                      <a:avLst/>
                    </a:prstGeom>
                  </pic:spPr>
                </pic:pic>
              </a:graphicData>
            </a:graphic>
          </wp:inline>
        </w:drawing>
      </w:r>
    </w:p>
    <w:p w:rsidR="00DC203E" w:rsidRPr="00E05A0C" w:rsidRDefault="00DC203E" w:rsidP="00DC203E">
      <w:pPr>
        <w:spacing w:before="0"/>
        <w:rPr>
          <w:rFonts w:ascii="Century Gothic" w:hAnsi="Century Gothic"/>
        </w:rPr>
      </w:pPr>
    </w:p>
    <w:p w:rsidR="00DC203E" w:rsidRPr="00E05A0C" w:rsidRDefault="00DC203E" w:rsidP="00DC203E">
      <w:pPr>
        <w:spacing w:before="0"/>
        <w:rPr>
          <w:rFonts w:ascii="Century Gothic" w:hAnsi="Century Gothic"/>
        </w:rPr>
      </w:pPr>
    </w:p>
    <w:p w:rsidR="00F07D73" w:rsidRDefault="00F07D73">
      <w:pPr>
        <w:spacing w:before="0"/>
        <w:rPr>
          <w:rFonts w:ascii="Century Gothic" w:hAnsi="Century Gothic"/>
          <w:b/>
          <w:sz w:val="22"/>
        </w:rPr>
      </w:pPr>
      <w:r>
        <w:rPr>
          <w:rFonts w:ascii="Century Gothic" w:hAnsi="Century Gothic"/>
          <w:b/>
          <w:sz w:val="22"/>
        </w:rPr>
        <w:br w:type="page"/>
      </w:r>
    </w:p>
    <w:p w:rsidR="006225F4" w:rsidRPr="00007360" w:rsidRDefault="006225F4">
      <w:pPr>
        <w:rPr>
          <w:rFonts w:ascii="Century Gothic" w:hAnsi="Century Gothic"/>
          <w:b/>
          <w:sz w:val="24"/>
        </w:rPr>
      </w:pPr>
      <w:r w:rsidRPr="00007360">
        <w:rPr>
          <w:rFonts w:ascii="Century Gothic" w:hAnsi="Century Gothic"/>
          <w:b/>
          <w:sz w:val="24"/>
        </w:rPr>
        <w:lastRenderedPageBreak/>
        <w:t>Tabla de contenido</w:t>
      </w:r>
    </w:p>
    <w:p w:rsidR="006225F4" w:rsidRDefault="006225F4">
      <w:pPr>
        <w:spacing w:before="0"/>
        <w:rPr>
          <w:rFonts w:ascii="Century Gothic" w:hAnsi="Century Gothic"/>
        </w:rPr>
      </w:pPr>
    </w:p>
    <w:p w:rsidR="00F07D73" w:rsidRPr="006225F4" w:rsidRDefault="00F07D73">
      <w:pPr>
        <w:spacing w:before="0"/>
        <w:rPr>
          <w:rFonts w:ascii="Century Gothic" w:hAnsi="Century Gothic"/>
        </w:rPr>
      </w:pPr>
    </w:p>
    <w:p w:rsidR="006225F4" w:rsidRPr="006225F4" w:rsidRDefault="006225F4">
      <w:pPr>
        <w:spacing w:before="0"/>
        <w:rPr>
          <w:rFonts w:ascii="Century Gothic" w:hAnsi="Century Gothic"/>
        </w:rPr>
      </w:pPr>
      <w:r w:rsidRPr="006225F4">
        <w:rPr>
          <w:rFonts w:ascii="Century Gothic" w:hAnsi="Century Gothic"/>
        </w:rPr>
        <w:br w:type="page"/>
      </w:r>
    </w:p>
    <w:p w:rsidR="004E3595" w:rsidRPr="0027628C" w:rsidRDefault="004E3595" w:rsidP="004E3595">
      <w:pPr>
        <w:spacing w:line="276" w:lineRule="auto"/>
        <w:rPr>
          <w:rFonts w:ascii="Century Gothic" w:hAnsi="Century Gothic"/>
          <w:b/>
          <w:sz w:val="22"/>
        </w:rPr>
      </w:pPr>
      <w:r w:rsidRPr="00DA5A7C">
        <w:rPr>
          <w:rFonts w:ascii="Century Gothic" w:hAnsi="Century Gothic"/>
          <w:b/>
          <w:sz w:val="22"/>
        </w:rPr>
        <w:lastRenderedPageBreak/>
        <w:t>El Show de Truman</w:t>
      </w:r>
      <w:r w:rsidRPr="0027628C">
        <w:rPr>
          <w:rFonts w:ascii="Century Gothic" w:hAnsi="Century Gothic"/>
          <w:b/>
          <w:sz w:val="22"/>
        </w:rPr>
        <w:t xml:space="preserve"> y el mito de la caverna</w:t>
      </w:r>
    </w:p>
    <w:p w:rsidR="004E3595" w:rsidRPr="005A265C" w:rsidRDefault="004E3595" w:rsidP="004E3595">
      <w:pPr>
        <w:spacing w:line="276" w:lineRule="auto"/>
        <w:rPr>
          <w:rFonts w:ascii="Century Gothic" w:hAnsi="Century Gothic"/>
        </w:rPr>
      </w:pPr>
    </w:p>
    <w:p w:rsidR="004E3595" w:rsidRPr="005345A5" w:rsidRDefault="004E3595" w:rsidP="005345A5">
      <w:pPr>
        <w:spacing w:before="60" w:line="276" w:lineRule="auto"/>
        <w:ind w:left="1701"/>
        <w:jc w:val="right"/>
        <w:rPr>
          <w:rFonts w:ascii="Century Gothic" w:hAnsi="Century Gothic"/>
          <w:i/>
          <w:sz w:val="18"/>
          <w:lang w:val="es-ES_tradnl"/>
        </w:rPr>
      </w:pPr>
      <w:r w:rsidRPr="005345A5">
        <w:rPr>
          <w:rFonts w:ascii="Century Gothic" w:hAnsi="Century Gothic"/>
          <w:i/>
          <w:sz w:val="18"/>
          <w:lang w:val="es-ES_tradnl"/>
        </w:rPr>
        <w:t>“Figúrate ahora unas personas que pasan a lo largo del tabique llevando objetos de toda clase, figuras de hombres, de animales de madera o de piedra, de suerte que todo esto sobresale del tabique.”</w:t>
      </w:r>
    </w:p>
    <w:p w:rsidR="004E3595" w:rsidRPr="005345A5" w:rsidRDefault="004E3595" w:rsidP="005345A5">
      <w:pPr>
        <w:spacing w:before="60" w:line="276" w:lineRule="auto"/>
        <w:ind w:left="1701"/>
        <w:jc w:val="right"/>
        <w:rPr>
          <w:rFonts w:ascii="Century Gothic" w:hAnsi="Century Gothic"/>
          <w:i/>
          <w:sz w:val="18"/>
          <w:lang w:val="es-ES_tradnl"/>
        </w:rPr>
      </w:pPr>
      <w:r w:rsidRPr="005345A5">
        <w:rPr>
          <w:rFonts w:ascii="Century Gothic" w:hAnsi="Century Gothic"/>
          <w:sz w:val="18"/>
          <w:lang w:val="es-ES_tradnl"/>
        </w:rPr>
        <w:t>Platón,</w:t>
      </w:r>
      <w:r w:rsidRPr="005345A5">
        <w:rPr>
          <w:rFonts w:ascii="Century Gothic" w:hAnsi="Century Gothic"/>
          <w:i/>
          <w:sz w:val="18"/>
          <w:lang w:val="es-ES_tradnl"/>
        </w:rPr>
        <w:t xml:space="preserve"> La República, Libro VII</w:t>
      </w:r>
    </w:p>
    <w:p w:rsidR="004E3595" w:rsidRPr="005A265C" w:rsidRDefault="004E3595" w:rsidP="004E3595">
      <w:pPr>
        <w:spacing w:line="276" w:lineRule="auto"/>
        <w:rPr>
          <w:rFonts w:ascii="Century Gothic" w:hAnsi="Century Gothic"/>
        </w:rPr>
      </w:pPr>
    </w:p>
    <w:p w:rsidR="004E3595" w:rsidRDefault="004E3595" w:rsidP="004E3595">
      <w:pPr>
        <w:spacing w:line="276" w:lineRule="auto"/>
        <w:jc w:val="both"/>
        <w:rPr>
          <w:rFonts w:ascii="Century Gothic" w:hAnsi="Century Gothic"/>
        </w:rPr>
      </w:pPr>
      <w:r w:rsidRPr="005A265C">
        <w:rPr>
          <w:rFonts w:ascii="Century Gothic" w:hAnsi="Century Gothic"/>
        </w:rPr>
        <w:t xml:space="preserve">Se ha querido ver en la alegoría platónica de la caverna una prefiguración de lo que hoy conocemos como cine. A lo obvio y circunstancial de esta relación —oscuridad de la cueva/sala; proyección y movimiento de sombras/imágenes; simulacro verosímil de lo real— podemos añadir otra conexión: la </w:t>
      </w:r>
      <w:r w:rsidRPr="005A265C">
        <w:rPr>
          <w:rFonts w:ascii="Century Gothic" w:hAnsi="Century Gothic"/>
          <w:i/>
          <w:iCs/>
        </w:rPr>
        <w:t>mirada cautiva</w:t>
      </w:r>
      <w:r w:rsidRPr="005A265C">
        <w:rPr>
          <w:rFonts w:ascii="Century Gothic" w:hAnsi="Century Gothic"/>
        </w:rPr>
        <w:t xml:space="preserve">, por los grilletes en la caverna y por los mecanismos discursivos ocultos en la técnica cinematográfica, que vehicula el universo imaginario común. En palabras de </w:t>
      </w:r>
      <w:proofErr w:type="spellStart"/>
      <w:r w:rsidRPr="005A265C">
        <w:rPr>
          <w:rFonts w:ascii="Century Gothic" w:hAnsi="Century Gothic"/>
        </w:rPr>
        <w:t>Roland</w:t>
      </w:r>
      <w:proofErr w:type="spellEnd"/>
      <w:r w:rsidRPr="005A265C">
        <w:rPr>
          <w:rFonts w:ascii="Century Gothic" w:hAnsi="Century Gothic"/>
        </w:rPr>
        <w:t xml:space="preserve"> </w:t>
      </w:r>
      <w:proofErr w:type="spellStart"/>
      <w:r w:rsidRPr="005A265C">
        <w:rPr>
          <w:rFonts w:ascii="Century Gothic" w:hAnsi="Century Gothic"/>
        </w:rPr>
        <w:t>Barthes</w:t>
      </w:r>
      <w:proofErr w:type="spellEnd"/>
      <w:r w:rsidRPr="005A265C">
        <w:rPr>
          <w:rFonts w:ascii="Century Gothic" w:hAnsi="Century Gothic"/>
        </w:rPr>
        <w:t xml:space="preserve">, “la imagen me cautiva, me captura: me quedo como </w:t>
      </w:r>
      <w:r w:rsidRPr="005A265C">
        <w:rPr>
          <w:rFonts w:ascii="Century Gothic" w:hAnsi="Century Gothic"/>
          <w:i/>
          <w:iCs/>
        </w:rPr>
        <w:t xml:space="preserve">pegado con cola </w:t>
      </w:r>
      <w:r w:rsidRPr="005A265C">
        <w:rPr>
          <w:rFonts w:ascii="Century Gothic" w:hAnsi="Century Gothic"/>
        </w:rPr>
        <w:t xml:space="preserve">a la representación y esta cola es el fundamento de la </w:t>
      </w:r>
      <w:r w:rsidRPr="005A265C">
        <w:rPr>
          <w:rFonts w:ascii="Century Gothic" w:hAnsi="Century Gothic"/>
          <w:i/>
          <w:iCs/>
        </w:rPr>
        <w:t>naturalidad</w:t>
      </w:r>
      <w:r w:rsidRPr="005A265C">
        <w:rPr>
          <w:rFonts w:ascii="Century Gothic" w:hAnsi="Century Gothic"/>
        </w:rPr>
        <w:t xml:space="preserve"> (la </w:t>
      </w:r>
      <w:proofErr w:type="spellStart"/>
      <w:r w:rsidRPr="005A265C">
        <w:rPr>
          <w:rFonts w:ascii="Century Gothic" w:hAnsi="Century Gothic"/>
        </w:rPr>
        <w:t>pseudo</w:t>
      </w:r>
      <w:proofErr w:type="spellEnd"/>
      <w:r w:rsidRPr="005A265C">
        <w:rPr>
          <w:rFonts w:ascii="Century Gothic" w:hAnsi="Century Gothic"/>
        </w:rPr>
        <w:t xml:space="preserve">-naturalidad) de la escena filmada (cola que ha sido preparada con todos los ingredientes de la ‘técnica’)” (Selva, M.; </w:t>
      </w:r>
      <w:proofErr w:type="spellStart"/>
      <w:r w:rsidRPr="005A265C">
        <w:rPr>
          <w:rFonts w:ascii="Century Gothic" w:hAnsi="Century Gothic"/>
        </w:rPr>
        <w:t>Solà</w:t>
      </w:r>
      <w:proofErr w:type="spellEnd"/>
      <w:r w:rsidRPr="005A265C">
        <w:rPr>
          <w:rFonts w:ascii="Century Gothic" w:hAnsi="Century Gothic"/>
        </w:rPr>
        <w:t>, A</w:t>
      </w:r>
      <w:r>
        <w:rPr>
          <w:rFonts w:ascii="Century Gothic" w:hAnsi="Century Gothic"/>
        </w:rPr>
        <w:t>, 2002</w:t>
      </w:r>
      <w:r w:rsidRPr="005A265C">
        <w:rPr>
          <w:rFonts w:ascii="Century Gothic" w:hAnsi="Century Gothic"/>
        </w:rPr>
        <w:t>).</w:t>
      </w:r>
    </w:p>
    <w:p w:rsidR="004E3595" w:rsidRDefault="004E3595" w:rsidP="004E3595">
      <w:pPr>
        <w:spacing w:line="276" w:lineRule="auto"/>
        <w:jc w:val="center"/>
        <w:rPr>
          <w:rFonts w:ascii="Century Gothic" w:hAnsi="Century Gothic"/>
        </w:rPr>
      </w:pPr>
      <w:r>
        <w:rPr>
          <w:rFonts w:ascii="Century Gothic" w:hAnsi="Century Gothic"/>
          <w:noProof/>
          <w:lang w:eastAsia="es-ES"/>
        </w:rPr>
        <w:drawing>
          <wp:inline distT="0" distB="0" distL="0" distR="0" wp14:anchorId="5876A998" wp14:editId="5B550682">
            <wp:extent cx="2501900" cy="3517900"/>
            <wp:effectExtent l="0" t="0" r="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lato_-_Allegory_of_the_Cave.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01900" cy="3517900"/>
                    </a:xfrm>
                    <a:prstGeom prst="rect">
                      <a:avLst/>
                    </a:prstGeom>
                  </pic:spPr>
                </pic:pic>
              </a:graphicData>
            </a:graphic>
          </wp:inline>
        </w:drawing>
      </w:r>
    </w:p>
    <w:p w:rsidR="004E3595" w:rsidRPr="00FB51E0" w:rsidRDefault="004E3595" w:rsidP="00C76C6D">
      <w:pPr>
        <w:spacing w:line="276" w:lineRule="auto"/>
        <w:rPr>
          <w:rFonts w:ascii="Century Gothic" w:hAnsi="Century Gothic"/>
          <w:b/>
        </w:rPr>
      </w:pPr>
      <w:r w:rsidRPr="00FB51E0">
        <w:rPr>
          <w:rFonts w:ascii="Century Gothic" w:hAnsi="Century Gothic"/>
          <w:b/>
        </w:rPr>
        <w:t>La imagen de la realidad</w:t>
      </w:r>
    </w:p>
    <w:p w:rsidR="004E3595" w:rsidRPr="005A265C" w:rsidRDefault="004E3595" w:rsidP="004E3595">
      <w:pPr>
        <w:spacing w:line="276" w:lineRule="auto"/>
        <w:jc w:val="both"/>
        <w:rPr>
          <w:rFonts w:ascii="Century Gothic" w:hAnsi="Century Gothic"/>
          <w:lang w:val="ca-ES"/>
        </w:rPr>
      </w:pPr>
      <w:r w:rsidRPr="005A265C">
        <w:rPr>
          <w:rFonts w:ascii="Century Gothic" w:hAnsi="Century Gothic"/>
        </w:rPr>
        <w:t xml:space="preserve">Peter </w:t>
      </w:r>
      <w:proofErr w:type="spellStart"/>
      <w:r w:rsidRPr="005A265C">
        <w:rPr>
          <w:rFonts w:ascii="Century Gothic" w:hAnsi="Century Gothic"/>
        </w:rPr>
        <w:t>Weir</w:t>
      </w:r>
      <w:proofErr w:type="spellEnd"/>
      <w:r w:rsidRPr="005A265C">
        <w:rPr>
          <w:rFonts w:ascii="Century Gothic" w:hAnsi="Century Gothic"/>
        </w:rPr>
        <w:t xml:space="preserve"> nos ha preparado una </w:t>
      </w:r>
      <w:r w:rsidRPr="005A265C">
        <w:rPr>
          <w:rFonts w:ascii="Century Gothic" w:hAnsi="Century Gothic"/>
          <w:i/>
          <w:iCs/>
        </w:rPr>
        <w:t xml:space="preserve">trampa </w:t>
      </w:r>
      <w:r w:rsidRPr="005A265C">
        <w:rPr>
          <w:rFonts w:ascii="Century Gothic" w:hAnsi="Century Gothic"/>
        </w:rPr>
        <w:t xml:space="preserve">fílmica que nos habla de otras trampas, otras cavernas. En un primer nivel encontramos a Truman, cautivo en su plató televisivo; en un segundo nivel se sitúan los espectadores del programa “enganchados” al espectáculo por sus receptores de TV; y un tercer nivel, externo a la obra, estaría constituido por los espectadores de la película. La caverna se ha extendido, pues, </w:t>
      </w:r>
      <w:r>
        <w:rPr>
          <w:rFonts w:ascii="Century Gothic" w:hAnsi="Century Gothic"/>
        </w:rPr>
        <w:t xml:space="preserve">a nuestra propia situación en la llamada cultura del simulacro, en la que el poder de las imágenes ha eclipsado de tal manera la realidad que no sabemos observar directamente el mundo o vivir nuestras propias experiencias. </w:t>
      </w:r>
      <w:r>
        <w:rPr>
          <w:rFonts w:ascii="Century Gothic" w:hAnsi="Century Gothic"/>
        </w:rPr>
        <w:lastRenderedPageBreak/>
        <w:t>Vivimos atrapados, como Truman, en el juego de simulacros que crean los medios de comunicación</w:t>
      </w:r>
      <w:r w:rsidRPr="005A265C">
        <w:rPr>
          <w:rFonts w:ascii="Century Gothic" w:hAnsi="Century Gothic"/>
          <w:lang w:val="ca-ES"/>
        </w:rPr>
        <w:t>.</w:t>
      </w:r>
    </w:p>
    <w:p w:rsidR="004E3595" w:rsidRPr="005A265C" w:rsidRDefault="004E3595" w:rsidP="004E3595">
      <w:pPr>
        <w:spacing w:line="276" w:lineRule="auto"/>
        <w:jc w:val="both"/>
        <w:rPr>
          <w:rFonts w:ascii="Century Gothic" w:hAnsi="Century Gothic"/>
          <w:lang w:val="es-ES_tradnl"/>
        </w:rPr>
      </w:pPr>
      <w:r w:rsidRPr="005A265C">
        <w:rPr>
          <w:rFonts w:ascii="Century Gothic" w:hAnsi="Century Gothic"/>
          <w:lang w:val="es-ES_tradnl"/>
        </w:rPr>
        <w:t xml:space="preserve">El mito de la caverna trata de la realidad y de su imagen. Para Platón lo real era el mundo de las Ideas, mientras que el mundo sensible era un simple reflejo, copia imperfecta de aquel. En </w:t>
      </w:r>
      <w:r w:rsidRPr="005A265C">
        <w:rPr>
          <w:rFonts w:ascii="Century Gothic" w:hAnsi="Century Gothic"/>
          <w:i/>
          <w:iCs/>
          <w:lang w:val="es-ES_tradnl"/>
        </w:rPr>
        <w:t xml:space="preserve">El Show de Truman </w:t>
      </w:r>
      <w:r w:rsidRPr="005A265C">
        <w:rPr>
          <w:rFonts w:ascii="Century Gothic" w:hAnsi="Century Gothic"/>
          <w:lang w:val="es-ES_tradnl"/>
        </w:rPr>
        <w:t xml:space="preserve">la realidad está tras los límites del plató. Pero, tanto para él como para los personajes en el diálogo del filósofo griego, lo real es lo único que conocen: la vida en la caverna o en </w:t>
      </w:r>
      <w:proofErr w:type="spellStart"/>
      <w:r w:rsidRPr="005A265C">
        <w:rPr>
          <w:rFonts w:ascii="Century Gothic" w:hAnsi="Century Gothic"/>
          <w:lang w:val="es-ES_tradnl"/>
        </w:rPr>
        <w:t>Seaheaven</w:t>
      </w:r>
      <w:proofErr w:type="spellEnd"/>
      <w:r w:rsidRPr="005A265C">
        <w:rPr>
          <w:rFonts w:ascii="Century Gothic" w:hAnsi="Century Gothic"/>
          <w:lang w:val="es-ES_tradnl"/>
        </w:rPr>
        <w:t xml:space="preserve">, las sombras en la pared o los actores, decorados y objetos de la producción televisiva. Por otra parte, los espectadores del show no están obligados a ver el programa, sin embargo, eligen la experiencia vicaria que les propone </w:t>
      </w:r>
      <w:proofErr w:type="spellStart"/>
      <w:r w:rsidRPr="005A265C">
        <w:rPr>
          <w:rFonts w:ascii="Century Gothic" w:hAnsi="Century Gothic"/>
          <w:lang w:val="es-ES_tradnl"/>
        </w:rPr>
        <w:t>Christof</w:t>
      </w:r>
      <w:proofErr w:type="spellEnd"/>
      <w:r w:rsidRPr="005A265C">
        <w:rPr>
          <w:rFonts w:ascii="Century Gothic" w:hAnsi="Century Gothic"/>
          <w:lang w:val="es-ES_tradnl"/>
        </w:rPr>
        <w:t xml:space="preserve">, atraídos empáticamente hacia Truman e inmersos en la falsa, pero idílica y verosímil, realidad de </w:t>
      </w:r>
      <w:proofErr w:type="spellStart"/>
      <w:r w:rsidRPr="005A265C">
        <w:rPr>
          <w:rFonts w:ascii="Century Gothic" w:hAnsi="Century Gothic"/>
          <w:lang w:val="es-ES_tradnl"/>
        </w:rPr>
        <w:t>Seaheaven</w:t>
      </w:r>
      <w:proofErr w:type="spellEnd"/>
      <w:r w:rsidRPr="005A265C">
        <w:rPr>
          <w:rFonts w:ascii="Century Gothic" w:hAnsi="Century Gothic"/>
          <w:lang w:val="es-ES_tradnl"/>
        </w:rPr>
        <w:t>.</w:t>
      </w:r>
    </w:p>
    <w:p w:rsidR="004E3595" w:rsidRDefault="004E3595" w:rsidP="004E3595">
      <w:pPr>
        <w:spacing w:line="276" w:lineRule="auto"/>
        <w:jc w:val="both"/>
        <w:rPr>
          <w:rFonts w:ascii="Century Gothic" w:hAnsi="Century Gothic"/>
          <w:lang w:val="es-ES_tradnl"/>
        </w:rPr>
      </w:pPr>
      <w:proofErr w:type="spellStart"/>
      <w:r w:rsidRPr="005A265C">
        <w:rPr>
          <w:rFonts w:ascii="Century Gothic" w:hAnsi="Century Gothic"/>
          <w:lang w:val="es-ES_tradnl"/>
        </w:rPr>
        <w:t>Christof</w:t>
      </w:r>
      <w:proofErr w:type="spellEnd"/>
      <w:r w:rsidRPr="005A265C">
        <w:rPr>
          <w:rFonts w:ascii="Century Gothic" w:hAnsi="Century Gothic"/>
          <w:lang w:val="es-ES_tradnl"/>
        </w:rPr>
        <w:t xml:space="preserve"> es quien maneja las sombras desde el olimpo de sus estudios y vigila, a modo de Gran Hermano </w:t>
      </w:r>
      <w:proofErr w:type="spellStart"/>
      <w:r w:rsidRPr="005A265C">
        <w:rPr>
          <w:rFonts w:ascii="Century Gothic" w:hAnsi="Century Gothic"/>
          <w:lang w:val="es-ES_tradnl"/>
        </w:rPr>
        <w:t>orweliano</w:t>
      </w:r>
      <w:proofErr w:type="spellEnd"/>
      <w:r w:rsidRPr="005A265C">
        <w:rPr>
          <w:rFonts w:ascii="Century Gothic" w:hAnsi="Century Gothic"/>
          <w:lang w:val="es-ES_tradnl"/>
        </w:rPr>
        <w:t>, que se cumpla la representación imaginaria dentro de las convenciones sociales aptas para el consumo televisivo. Aparece como un dios creador y omnipotente que planifica la vida de Truman: su familia, su trabajo, sus aficiones, sus fobias... Y también vengativo, pues no duda en provocar una terrible tempestad para deshacerse de su creación cuando ésta toma conciencia de la farsa e intenta huir de la caverna-plató.</w:t>
      </w:r>
    </w:p>
    <w:p w:rsidR="006B3542" w:rsidRDefault="006B3542" w:rsidP="006B3542">
      <w:pPr>
        <w:spacing w:line="276" w:lineRule="auto"/>
        <w:jc w:val="center"/>
        <w:rPr>
          <w:rFonts w:ascii="Century Gothic" w:hAnsi="Century Gothic"/>
          <w:lang w:val="es-ES_tradnl"/>
        </w:rPr>
      </w:pPr>
      <w:r>
        <w:rPr>
          <w:rFonts w:ascii="Century Gothic" w:hAnsi="Century Gothic"/>
          <w:noProof/>
          <w:lang w:eastAsia="es-ES"/>
        </w:rPr>
        <w:drawing>
          <wp:inline distT="0" distB="0" distL="0" distR="0" wp14:anchorId="51A1510C" wp14:editId="34AF2422">
            <wp:extent cx="1549400" cy="2298700"/>
            <wp:effectExtent l="0" t="0" r="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Show Truman.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49400" cy="2298700"/>
                    </a:xfrm>
                    <a:prstGeom prst="rect">
                      <a:avLst/>
                    </a:prstGeom>
                  </pic:spPr>
                </pic:pic>
              </a:graphicData>
            </a:graphic>
          </wp:inline>
        </w:drawing>
      </w:r>
    </w:p>
    <w:p w:rsidR="004E3595" w:rsidRPr="00C17055" w:rsidRDefault="004E3595" w:rsidP="00C76C6D">
      <w:pPr>
        <w:spacing w:line="276" w:lineRule="auto"/>
        <w:rPr>
          <w:rFonts w:ascii="Century Gothic" w:hAnsi="Century Gothic"/>
          <w:b/>
          <w:lang w:val="es-ES_tradnl"/>
        </w:rPr>
      </w:pPr>
      <w:r w:rsidRPr="00C17055">
        <w:rPr>
          <w:rFonts w:ascii="Century Gothic" w:hAnsi="Century Gothic"/>
          <w:b/>
          <w:lang w:val="es-ES_tradnl"/>
        </w:rPr>
        <w:t>Salir de la caverna</w:t>
      </w:r>
    </w:p>
    <w:p w:rsidR="004E3595" w:rsidRDefault="004E3595" w:rsidP="004E3595">
      <w:pPr>
        <w:spacing w:line="276" w:lineRule="auto"/>
        <w:jc w:val="both"/>
        <w:rPr>
          <w:rFonts w:ascii="Century Gothic" w:hAnsi="Century Gothic"/>
          <w:lang w:val="es-ES_tradnl"/>
        </w:rPr>
      </w:pPr>
      <w:r w:rsidRPr="005A265C">
        <w:rPr>
          <w:rFonts w:ascii="Century Gothic" w:hAnsi="Century Gothic"/>
          <w:lang w:val="es-ES_tradnl"/>
        </w:rPr>
        <w:t>Al igual que el habitante de la cueva, que logra desasirse de sus cadenas, así Truman se va desligando de las suyas, que en este caso revisten la forma de sociedad representada por los actores, los cuales se interponen ante cualquier resquicio que deje pasar la luz del mundo real —como la salida del gui</w:t>
      </w:r>
      <w:r w:rsidR="006B3542">
        <w:rPr>
          <w:rFonts w:ascii="Century Gothic" w:hAnsi="Century Gothic"/>
          <w:lang w:val="es-ES_tradnl"/>
        </w:rPr>
        <w:t>o</w:t>
      </w:r>
      <w:r w:rsidRPr="005A265C">
        <w:rPr>
          <w:rFonts w:ascii="Century Gothic" w:hAnsi="Century Gothic"/>
          <w:lang w:val="es-ES_tradnl"/>
        </w:rPr>
        <w:t>n de Sylvia, en el papel de Lauren Garland, que le informa del montaje del que es objeto (</w:t>
      </w:r>
      <w:r w:rsidRPr="005A265C">
        <w:rPr>
          <w:rFonts w:ascii="Century Gothic" w:hAnsi="Century Gothic"/>
        </w:rPr>
        <w:t>“Truman, fingen alrededor de ti. Esto es falso”)—</w:t>
      </w:r>
      <w:r w:rsidRPr="005A265C">
        <w:rPr>
          <w:rFonts w:ascii="Century Gothic" w:hAnsi="Century Gothic"/>
          <w:lang w:val="es-ES_tradnl"/>
        </w:rPr>
        <w:t xml:space="preserve">. Sin embargo, ajeno a su situación de cautivo en </w:t>
      </w:r>
      <w:proofErr w:type="spellStart"/>
      <w:r w:rsidRPr="005A265C">
        <w:rPr>
          <w:rFonts w:ascii="Century Gothic" w:hAnsi="Century Gothic"/>
          <w:lang w:val="es-ES_tradnl"/>
        </w:rPr>
        <w:t>Seaheaven</w:t>
      </w:r>
      <w:proofErr w:type="spellEnd"/>
      <w:r w:rsidRPr="005A265C">
        <w:rPr>
          <w:rFonts w:ascii="Century Gothic" w:hAnsi="Century Gothic"/>
          <w:lang w:val="es-ES_tradnl"/>
        </w:rPr>
        <w:t>, no puede creer tal desatino que desmonta su universo imaginario, sus vínculos con el mundo, su propia identidad. Pero los fallos de realización se suceden (cae un foco del techo del plató, distingue a su padre vestido de mendigo cuando debería estar muerto, oye por la radio cómo se realiza el programa, un policía al que nunca ha visto lo saluda por su nombre,</w:t>
      </w:r>
      <w:r>
        <w:rPr>
          <w:rFonts w:ascii="Century Gothic" w:hAnsi="Century Gothic"/>
          <w:lang w:val="es-ES_tradnl"/>
        </w:rPr>
        <w:t xml:space="preserve"> </w:t>
      </w:r>
      <w:r w:rsidRPr="005A265C">
        <w:rPr>
          <w:rFonts w:ascii="Century Gothic" w:hAnsi="Century Gothic"/>
          <w:lang w:val="es-ES_tradnl"/>
        </w:rPr>
        <w:t>...) y la duda metafísica se abre paso: un genio maligno cartesiano le está engañando.</w:t>
      </w:r>
    </w:p>
    <w:p w:rsidR="004E3595" w:rsidRPr="005A265C" w:rsidRDefault="004E3595" w:rsidP="004E3595">
      <w:pPr>
        <w:spacing w:line="276" w:lineRule="auto"/>
        <w:jc w:val="both"/>
        <w:rPr>
          <w:rFonts w:ascii="Century Gothic" w:hAnsi="Century Gothic"/>
        </w:rPr>
      </w:pPr>
      <w:r w:rsidRPr="005A265C">
        <w:rPr>
          <w:rFonts w:ascii="Century Gothic" w:hAnsi="Century Gothic"/>
        </w:rPr>
        <w:lastRenderedPageBreak/>
        <w:t xml:space="preserve">Del estado inicial, estado de la ignorancia o </w:t>
      </w:r>
      <w:proofErr w:type="spellStart"/>
      <w:r w:rsidRPr="005A265C">
        <w:rPr>
          <w:rFonts w:ascii="Century Gothic" w:hAnsi="Century Gothic"/>
          <w:i/>
          <w:iCs/>
        </w:rPr>
        <w:t>eikasia</w:t>
      </w:r>
      <w:proofErr w:type="spellEnd"/>
      <w:r w:rsidRPr="005A265C">
        <w:rPr>
          <w:rFonts w:ascii="Century Gothic" w:hAnsi="Century Gothic"/>
          <w:i/>
          <w:iCs/>
        </w:rPr>
        <w:t xml:space="preserve"> </w:t>
      </w:r>
      <w:r w:rsidRPr="005A265C">
        <w:rPr>
          <w:rFonts w:ascii="Century Gothic" w:hAnsi="Century Gothic"/>
        </w:rPr>
        <w:t xml:space="preserve">(ilusión), el prisionero de la caverna y Truman consiguen pasar al segundo estado, en el que el conocimiento de lo real supone una conmoción existencial, ontológica: “¿Quién soy yo?”, pregunta Truman a su creador. Y una vez dado este paso, no hay vuelta atrás. Los habitantes de la caverna difícilmente van a creer a su compañero, en su mundo de sombras se sienten seguros y esta seguridad la echa </w:t>
      </w:r>
      <w:proofErr w:type="spellStart"/>
      <w:r w:rsidRPr="005A265C">
        <w:rPr>
          <w:rFonts w:ascii="Century Gothic" w:hAnsi="Century Gothic"/>
        </w:rPr>
        <w:t>Christof</w:t>
      </w:r>
      <w:proofErr w:type="spellEnd"/>
      <w:r w:rsidRPr="005A265C">
        <w:rPr>
          <w:rFonts w:ascii="Century Gothic" w:hAnsi="Century Gothic"/>
        </w:rPr>
        <w:t xml:space="preserve"> como anzuelo (“en mi mundo tú no tienes nada que temer”). Como en la película </w:t>
      </w:r>
      <w:proofErr w:type="spellStart"/>
      <w:r w:rsidRPr="005A265C">
        <w:rPr>
          <w:rFonts w:ascii="Century Gothic" w:hAnsi="Century Gothic"/>
          <w:i/>
          <w:iCs/>
        </w:rPr>
        <w:t>Matrix</w:t>
      </w:r>
      <w:proofErr w:type="spellEnd"/>
      <w:r w:rsidRPr="005A265C">
        <w:rPr>
          <w:rFonts w:ascii="Century Gothic" w:hAnsi="Century Gothic"/>
          <w:i/>
          <w:iCs/>
        </w:rPr>
        <w:t xml:space="preserve">, </w:t>
      </w:r>
      <w:r w:rsidRPr="005A265C">
        <w:rPr>
          <w:rFonts w:ascii="Century Gothic" w:hAnsi="Century Gothic"/>
        </w:rPr>
        <w:t xml:space="preserve">que también recrea el mito platónico, Truman ha de elegir la pastilla roja o la verde, la ficción predecible o la realidad azarosa. Pero, “¿se puede querer regresar a una realidad aparente a sabiendas de que lo es? [...] moverse en una realidad auténtica (con azar incluido) es una de las </w:t>
      </w:r>
      <w:proofErr w:type="spellStart"/>
      <w:r w:rsidRPr="005A265C">
        <w:rPr>
          <w:rFonts w:ascii="Century Gothic" w:hAnsi="Century Gothic"/>
        </w:rPr>
        <w:t>metapreferencias</w:t>
      </w:r>
      <w:proofErr w:type="spellEnd"/>
      <w:r w:rsidRPr="005A265C">
        <w:rPr>
          <w:rFonts w:ascii="Century Gothic" w:hAnsi="Century Gothic"/>
        </w:rPr>
        <w:t xml:space="preserve"> más inflexibles que puede tener un ser humano” (Rivera, 2003).</w:t>
      </w:r>
    </w:p>
    <w:p w:rsidR="004E3595" w:rsidRDefault="004E3595" w:rsidP="004E3595">
      <w:pPr>
        <w:spacing w:line="276" w:lineRule="auto"/>
        <w:jc w:val="both"/>
        <w:rPr>
          <w:rFonts w:ascii="Century Gothic" w:hAnsi="Century Gothic"/>
        </w:rPr>
      </w:pPr>
      <w:r w:rsidRPr="005A265C">
        <w:rPr>
          <w:rFonts w:ascii="Century Gothic" w:hAnsi="Century Gothic"/>
        </w:rPr>
        <w:t>La salida de Truman del plató-caverna funciona para los espectadores del show como una catarsis, les abre las puertas de su propia caverna, “hay un estallido de júbilo colectivo [...] Sienten como propia la liberación de Truman; descubren [...] la incomodidad moral que les estaba produciendo el que se hayan tomado tantas libertades con la libertad de un hombre, bajo sus narices y con su consentimiento tácito” (Rivera, 2003).</w:t>
      </w:r>
    </w:p>
    <w:p w:rsidR="007C1E47" w:rsidRPr="005A265C" w:rsidRDefault="007C1E47" w:rsidP="007C1E47">
      <w:pPr>
        <w:spacing w:line="276" w:lineRule="auto"/>
        <w:jc w:val="center"/>
        <w:rPr>
          <w:rFonts w:ascii="Century Gothic" w:hAnsi="Century Gothic"/>
        </w:rPr>
      </w:pPr>
      <w:r>
        <w:rPr>
          <w:rFonts w:ascii="Century Gothic" w:hAnsi="Century Gothic"/>
          <w:noProof/>
          <w:lang w:eastAsia="es-ES"/>
        </w:rPr>
        <w:drawing>
          <wp:inline distT="0" distB="0" distL="0" distR="0" wp14:anchorId="18CAB659" wp14:editId="33C23AB1">
            <wp:extent cx="5029200" cy="2514600"/>
            <wp:effectExtent l="0" t="0" r="0"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ruman-show_barca.jpg"/>
                    <pic:cNvPicPr/>
                  </pic:nvPicPr>
                  <pic:blipFill>
                    <a:blip r:embed="rId11">
                      <a:extLst>
                        <a:ext uri="{28A0092B-C50C-407E-A947-70E740481C1C}">
                          <a14:useLocalDpi xmlns:a14="http://schemas.microsoft.com/office/drawing/2010/main" val="0"/>
                        </a:ext>
                      </a:extLst>
                    </a:blip>
                    <a:stretch>
                      <a:fillRect/>
                    </a:stretch>
                  </pic:blipFill>
                  <pic:spPr>
                    <a:xfrm>
                      <a:off x="0" y="0"/>
                      <a:ext cx="5029200" cy="2514600"/>
                    </a:xfrm>
                    <a:prstGeom prst="rect">
                      <a:avLst/>
                    </a:prstGeom>
                  </pic:spPr>
                </pic:pic>
              </a:graphicData>
            </a:graphic>
          </wp:inline>
        </w:drawing>
      </w:r>
    </w:p>
    <w:p w:rsidR="004E3595" w:rsidRPr="005A265C" w:rsidRDefault="004E3595" w:rsidP="004E3595">
      <w:pPr>
        <w:spacing w:line="276" w:lineRule="auto"/>
        <w:jc w:val="both"/>
        <w:rPr>
          <w:rFonts w:ascii="Century Gothic" w:hAnsi="Century Gothic"/>
        </w:rPr>
      </w:pPr>
      <w:r w:rsidRPr="005A265C">
        <w:rPr>
          <w:rFonts w:ascii="Century Gothic" w:hAnsi="Century Gothic"/>
          <w:lang w:val="es-ES_tradnl"/>
        </w:rPr>
        <w:t xml:space="preserve">Pero, ¿efectivamente Truman y la </w:t>
      </w:r>
      <w:r w:rsidRPr="005A265C">
        <w:rPr>
          <w:rFonts w:ascii="Century Gothic" w:hAnsi="Century Gothic"/>
        </w:rPr>
        <w:t>“comunidad virtual” de espectadores cómplices —fundada en la proyección imaginaria de situaciones, personajes y roles— acceden al mundo real? ¿Lo hacemos nosotros, espectadores de cine, al salir de la caverna-sala de proyección? Platón, desde luego, contestaría que no.</w:t>
      </w:r>
    </w:p>
    <w:p w:rsidR="004E3595" w:rsidRPr="005A265C" w:rsidRDefault="004E3595" w:rsidP="004E3595">
      <w:pPr>
        <w:spacing w:line="276" w:lineRule="auto"/>
        <w:jc w:val="both"/>
        <w:rPr>
          <w:rFonts w:ascii="Century Gothic" w:hAnsi="Century Gothic"/>
          <w:lang w:val="es-ES_tradnl"/>
        </w:rPr>
      </w:pPr>
      <w:r w:rsidRPr="005A265C">
        <w:rPr>
          <w:rFonts w:ascii="Century Gothic" w:hAnsi="Century Gothic"/>
        </w:rPr>
        <w:t xml:space="preserve">Lo cierto es que “el proceso de </w:t>
      </w:r>
      <w:proofErr w:type="spellStart"/>
      <w:r w:rsidRPr="005A265C">
        <w:rPr>
          <w:rFonts w:ascii="Century Gothic" w:hAnsi="Century Gothic"/>
        </w:rPr>
        <w:t>espectacularización</w:t>
      </w:r>
      <w:proofErr w:type="spellEnd"/>
      <w:r w:rsidRPr="005A265C">
        <w:rPr>
          <w:rFonts w:ascii="Century Gothic" w:hAnsi="Century Gothic"/>
        </w:rPr>
        <w:t xml:space="preserve"> de lo real hace que la percepción mediada del mundo sea preferida a la inmediata” (</w:t>
      </w:r>
      <w:r w:rsidRPr="005A265C">
        <w:rPr>
          <w:rFonts w:ascii="Century Gothic" w:hAnsi="Century Gothic"/>
          <w:lang w:val="es-ES_tradnl"/>
        </w:rPr>
        <w:t>Sánchez Noriega</w:t>
      </w:r>
      <w:r>
        <w:rPr>
          <w:rFonts w:ascii="Century Gothic" w:hAnsi="Century Gothic"/>
          <w:lang w:val="es-ES_tradnl"/>
        </w:rPr>
        <w:t>, 1999</w:t>
      </w:r>
      <w:r w:rsidRPr="005A265C">
        <w:rPr>
          <w:rFonts w:ascii="Century Gothic" w:hAnsi="Century Gothic"/>
          <w:lang w:val="es-ES_tradnl"/>
        </w:rPr>
        <w:t>), las imágenes son interpretadas no como referentes de lo que es real, sino como la realidad misma.</w:t>
      </w:r>
    </w:p>
    <w:p w:rsidR="004E3595" w:rsidRPr="006225F4" w:rsidRDefault="004E3595" w:rsidP="004E3595">
      <w:pPr>
        <w:spacing w:line="276" w:lineRule="auto"/>
        <w:jc w:val="both"/>
        <w:rPr>
          <w:rFonts w:ascii="Century Gothic" w:hAnsi="Century Gothic"/>
        </w:rPr>
      </w:pPr>
    </w:p>
    <w:p w:rsidR="004E3595" w:rsidRDefault="004E3595" w:rsidP="004E3595">
      <w:pPr>
        <w:spacing w:before="0"/>
        <w:rPr>
          <w:rFonts w:ascii="Century Gothic" w:hAnsi="Century Gothic"/>
        </w:rPr>
      </w:pPr>
      <w:r>
        <w:rPr>
          <w:rFonts w:ascii="Century Gothic" w:hAnsi="Century Gothic"/>
        </w:rPr>
        <w:br w:type="page"/>
      </w:r>
    </w:p>
    <w:p w:rsidR="006225F4" w:rsidRPr="0027628C" w:rsidRDefault="006225F4">
      <w:pPr>
        <w:rPr>
          <w:rFonts w:ascii="Century Gothic" w:hAnsi="Century Gothic"/>
          <w:b/>
          <w:sz w:val="22"/>
        </w:rPr>
      </w:pPr>
      <w:proofErr w:type="spellStart"/>
      <w:r w:rsidRPr="00DA5A7C">
        <w:rPr>
          <w:rFonts w:ascii="Century Gothic" w:hAnsi="Century Gothic"/>
          <w:b/>
          <w:sz w:val="22"/>
        </w:rPr>
        <w:lastRenderedPageBreak/>
        <w:t>Matrix</w:t>
      </w:r>
      <w:proofErr w:type="spellEnd"/>
      <w:r w:rsidRPr="0027628C">
        <w:rPr>
          <w:rFonts w:ascii="Century Gothic" w:hAnsi="Century Gothic"/>
          <w:b/>
          <w:sz w:val="22"/>
        </w:rPr>
        <w:t xml:space="preserve"> y el imaginario social</w:t>
      </w:r>
    </w:p>
    <w:p w:rsidR="001B6519" w:rsidRDefault="001B6519" w:rsidP="00000CF3">
      <w:pPr>
        <w:spacing w:line="276" w:lineRule="auto"/>
        <w:rPr>
          <w:rFonts w:ascii="Century Gothic" w:hAnsi="Century Gothic"/>
          <w:lang w:val="es-ES_tradnl"/>
        </w:rPr>
      </w:pPr>
    </w:p>
    <w:p w:rsidR="00D96DF2" w:rsidRPr="00007360" w:rsidRDefault="00900F3E" w:rsidP="00007360">
      <w:pPr>
        <w:spacing w:before="60" w:line="276" w:lineRule="auto"/>
        <w:ind w:left="1701"/>
        <w:jc w:val="right"/>
        <w:rPr>
          <w:rFonts w:ascii="Century Gothic" w:hAnsi="Century Gothic"/>
          <w:i/>
          <w:sz w:val="18"/>
          <w:lang w:val="es-ES_tradnl"/>
        </w:rPr>
      </w:pPr>
      <w:r w:rsidRPr="00007360">
        <w:rPr>
          <w:rFonts w:ascii="Century Gothic" w:hAnsi="Century Gothic"/>
          <w:i/>
          <w:sz w:val="18"/>
          <w:lang w:val="es-ES_tradnl"/>
        </w:rPr>
        <w:t>“</w:t>
      </w:r>
      <w:r w:rsidR="00D96DF2" w:rsidRPr="00007360">
        <w:rPr>
          <w:rFonts w:ascii="Century Gothic" w:hAnsi="Century Gothic"/>
          <w:i/>
          <w:sz w:val="18"/>
          <w:lang w:val="es-ES_tradnl"/>
        </w:rPr>
        <w:t>¿Alguna vez has tenido un sueño, que pareciera tan real que no lo puedes distinguir de la realidad? Y si no pudieras despertar de ese sueño, ¿cómo sabrías que estás soñando?</w:t>
      </w:r>
      <w:r w:rsidRPr="00007360">
        <w:rPr>
          <w:rFonts w:ascii="Century Gothic" w:hAnsi="Century Gothic"/>
          <w:i/>
          <w:sz w:val="18"/>
          <w:lang w:val="es-ES_tradnl"/>
        </w:rPr>
        <w:t>”</w:t>
      </w:r>
    </w:p>
    <w:p w:rsidR="00D96DF2" w:rsidRPr="00007360" w:rsidRDefault="00D96DF2" w:rsidP="00007360">
      <w:pPr>
        <w:spacing w:before="60" w:line="276" w:lineRule="auto"/>
        <w:ind w:left="1701"/>
        <w:jc w:val="right"/>
        <w:rPr>
          <w:rFonts w:ascii="Century Gothic" w:hAnsi="Century Gothic"/>
          <w:i/>
          <w:sz w:val="18"/>
          <w:lang w:val="es-ES_tradnl"/>
        </w:rPr>
      </w:pPr>
      <w:r w:rsidRPr="00007360">
        <w:rPr>
          <w:rFonts w:ascii="Century Gothic" w:hAnsi="Century Gothic"/>
          <w:sz w:val="18"/>
          <w:lang w:val="es-ES_tradnl"/>
        </w:rPr>
        <w:t>Trinity</w:t>
      </w:r>
      <w:r w:rsidR="00851632" w:rsidRPr="00007360">
        <w:rPr>
          <w:rFonts w:ascii="Century Gothic" w:hAnsi="Century Gothic"/>
          <w:i/>
          <w:sz w:val="18"/>
          <w:lang w:val="es-ES_tradnl"/>
        </w:rPr>
        <w:t>,</w:t>
      </w:r>
      <w:r w:rsidRPr="00007360">
        <w:rPr>
          <w:rFonts w:ascii="Century Gothic" w:hAnsi="Century Gothic"/>
          <w:i/>
          <w:sz w:val="18"/>
          <w:lang w:val="es-ES_tradnl"/>
        </w:rPr>
        <w:t xml:space="preserve"> personaje de </w:t>
      </w:r>
      <w:proofErr w:type="spellStart"/>
      <w:r w:rsidRPr="00007360">
        <w:rPr>
          <w:rFonts w:ascii="Century Gothic" w:hAnsi="Century Gothic"/>
          <w:i/>
          <w:sz w:val="18"/>
          <w:lang w:val="es-ES_tradnl"/>
        </w:rPr>
        <w:t>Matrix</w:t>
      </w:r>
      <w:proofErr w:type="spellEnd"/>
    </w:p>
    <w:p w:rsidR="00D96DF2" w:rsidRDefault="00D96DF2" w:rsidP="001E09C8">
      <w:pPr>
        <w:spacing w:line="276" w:lineRule="auto"/>
        <w:rPr>
          <w:rFonts w:ascii="Century Gothic" w:hAnsi="Century Gothic"/>
          <w:lang w:val="es-ES_tradnl"/>
        </w:rPr>
      </w:pP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Si algo caracteriza al ser humano es la creación de mitos, de relatos fantásticos que no pueden interpretarse desde la racionalidad pacata que caracteriza la visión del mundo occidental. Toda sociedad humana, por simple —dicho, sin intención peyorativa— o avanzada que sea posee una mitología que, a pesar de sus peculiaridades propias, forma parte de un universo imaginario común a la especie humana. Esto, al menos, es lo que defienden autores como el psiquiatra Carl-Gustav Jung, con su teoría del inconsciente colectivo, mientras que Gilbert Durand pretende explicar la unidad y coherencia de los imaginarios culturales por su vinculación a universales simbólicos y míticos, sin descartar sus expresiones singulares, lo que él llama “polaridades” y “cuencas semánticas”</w:t>
      </w:r>
      <w:r w:rsidR="00060956">
        <w:rPr>
          <w:rFonts w:ascii="Century Gothic" w:hAnsi="Century Gothic"/>
          <w:lang w:val="es-ES_tradnl"/>
        </w:rPr>
        <w:t xml:space="preserve"> (Durand, G, 2003)</w:t>
      </w:r>
      <w:r w:rsidRPr="006225F4">
        <w:rPr>
          <w:rFonts w:ascii="Century Gothic" w:hAnsi="Century Gothic"/>
          <w:lang w:val="es-ES_tradnl"/>
        </w:rPr>
        <w:t>.</w:t>
      </w:r>
    </w:p>
    <w:p w:rsidR="00FB51E0" w:rsidRPr="00FB51E0" w:rsidRDefault="00FB51E0" w:rsidP="00C76C6D">
      <w:pPr>
        <w:spacing w:line="276" w:lineRule="auto"/>
        <w:rPr>
          <w:rFonts w:ascii="Century Gothic" w:hAnsi="Century Gothic"/>
          <w:b/>
          <w:lang w:val="es-ES_tradnl"/>
        </w:rPr>
      </w:pPr>
      <w:r w:rsidRPr="00FB51E0">
        <w:rPr>
          <w:rFonts w:ascii="Century Gothic" w:hAnsi="Century Gothic"/>
          <w:b/>
          <w:lang w:val="es-ES_tradnl"/>
        </w:rPr>
        <w:t>Función del mito</w:t>
      </w:r>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Los relatos míticos pueden parecer absurdos, irracionales, pero bajo esta apariencia, sostiene </w:t>
      </w:r>
      <w:proofErr w:type="spellStart"/>
      <w:r w:rsidRPr="006225F4">
        <w:rPr>
          <w:rFonts w:ascii="Century Gothic" w:hAnsi="Century Gothic"/>
          <w:lang w:val="es-ES_tradnl"/>
        </w:rPr>
        <w:t>Lévi</w:t>
      </w:r>
      <w:proofErr w:type="spellEnd"/>
      <w:r w:rsidRPr="006225F4">
        <w:rPr>
          <w:rFonts w:ascii="Century Gothic" w:hAnsi="Century Gothic"/>
          <w:lang w:val="es-ES_tradnl"/>
        </w:rPr>
        <w:t>-Strauss, subyace una lógica que nos habla de su función como instrumento de conocimiento del mundo y de cohesión social. Los mitos funcionan también a escala individual en la elaboración cultural de nuestra subjetividad, nuestra identidad y en las formas de organizar socialmente los procesos cognitivos individuales. Como dice Steiner, en línea con el etnólogo y filósofo francés: “Es a través de los mitos como el hombre comprende el sentido del mundo” y hace frente a sus paradojas, pues el ser humano “se encuentra enredado en contradicciones primarias entre ser y no ser, masculino y femenino, joven y viejo, luz y oscuridad, comestible y tóxico, móvil e inerte</w:t>
      </w:r>
      <w:r w:rsidR="00CF5125">
        <w:rPr>
          <w:rFonts w:ascii="Century Gothic" w:hAnsi="Century Gothic"/>
          <w:lang w:val="es-ES_tradnl"/>
        </w:rPr>
        <w:t>”</w:t>
      </w:r>
      <w:r w:rsidRPr="006225F4">
        <w:rPr>
          <w:rFonts w:ascii="Century Gothic" w:hAnsi="Century Gothic"/>
          <w:lang w:val="es-ES_tradnl"/>
        </w:rPr>
        <w:t xml:space="preserve">. No puede, dice </w:t>
      </w:r>
      <w:proofErr w:type="spellStart"/>
      <w:r w:rsidRPr="006225F4">
        <w:rPr>
          <w:rFonts w:ascii="Century Gothic" w:hAnsi="Century Gothic"/>
          <w:lang w:val="es-ES_tradnl"/>
        </w:rPr>
        <w:t>Lévi</w:t>
      </w:r>
      <w:proofErr w:type="spellEnd"/>
      <w:r w:rsidRPr="006225F4">
        <w:rPr>
          <w:rFonts w:ascii="Century Gothic" w:hAnsi="Century Gothic"/>
          <w:lang w:val="es-ES_tradnl"/>
        </w:rPr>
        <w:t>-Strauss, resolver estas formidables antítesis enfrentadas mediante procesos puramente racionales</w:t>
      </w:r>
      <w:r w:rsidR="00CF5125">
        <w:rPr>
          <w:rFonts w:ascii="Century Gothic" w:hAnsi="Century Gothic"/>
          <w:lang w:val="es-ES_tradnl"/>
        </w:rPr>
        <w:t>:</w:t>
      </w:r>
      <w:r w:rsidRPr="006225F4">
        <w:rPr>
          <w:rFonts w:ascii="Century Gothic" w:hAnsi="Century Gothic"/>
          <w:lang w:val="es-ES_tradnl"/>
        </w:rPr>
        <w:t xml:space="preserve"> </w:t>
      </w:r>
      <w:r w:rsidR="00CF5125">
        <w:rPr>
          <w:rFonts w:ascii="Century Gothic" w:hAnsi="Century Gothic"/>
          <w:lang w:val="es-ES_tradnl"/>
        </w:rPr>
        <w:t>“</w:t>
      </w:r>
      <w:r w:rsidRPr="006225F4">
        <w:rPr>
          <w:rFonts w:ascii="Century Gothic" w:hAnsi="Century Gothic"/>
          <w:lang w:val="es-ES_tradnl"/>
        </w:rPr>
        <w:t>En los polos del tiempo concebible se encuentra enfrentado primero con el misterio de sus orígenes y luego con el misterio de su extinción. [...] Sólo los mitos pueden articular estas antinomias universales, encontrar explicaciones metafóricas para la escindida situación del hombre en la naturaleza</w:t>
      </w:r>
      <w:r w:rsidR="000008C1">
        <w:rPr>
          <w:rFonts w:ascii="Century Gothic" w:hAnsi="Century Gothic"/>
          <w:lang w:val="es-ES_tradnl"/>
        </w:rPr>
        <w:t>”</w:t>
      </w:r>
      <w:r w:rsidRPr="006225F4">
        <w:rPr>
          <w:rFonts w:ascii="Century Gothic" w:hAnsi="Century Gothic"/>
          <w:lang w:val="es-ES_tradnl"/>
        </w:rPr>
        <w:t xml:space="preserve">. El hombre es, en la visión de </w:t>
      </w:r>
      <w:proofErr w:type="spellStart"/>
      <w:r w:rsidRPr="006225F4">
        <w:rPr>
          <w:rFonts w:ascii="Century Gothic" w:hAnsi="Century Gothic"/>
          <w:lang w:val="es-ES_tradnl"/>
        </w:rPr>
        <w:t>Lévi</w:t>
      </w:r>
      <w:proofErr w:type="spellEnd"/>
      <w:r w:rsidRPr="006225F4">
        <w:rPr>
          <w:rFonts w:ascii="Century Gothic" w:hAnsi="Century Gothic"/>
          <w:lang w:val="es-ES_tradnl"/>
        </w:rPr>
        <w:t xml:space="preserve">-Strauss, </w:t>
      </w:r>
      <w:r w:rsidR="000008C1">
        <w:rPr>
          <w:rFonts w:ascii="Century Gothic" w:hAnsi="Century Gothic"/>
          <w:lang w:val="es-ES_tradnl"/>
        </w:rPr>
        <w:t>“</w:t>
      </w:r>
      <w:r w:rsidRPr="006225F4">
        <w:rPr>
          <w:rFonts w:ascii="Century Gothic" w:hAnsi="Century Gothic"/>
          <w:lang w:val="es-ES_tradnl"/>
        </w:rPr>
        <w:t xml:space="preserve">un primate </w:t>
      </w:r>
      <w:proofErr w:type="spellStart"/>
      <w:r w:rsidRPr="006225F4">
        <w:rPr>
          <w:rFonts w:ascii="Century Gothic" w:hAnsi="Century Gothic"/>
          <w:lang w:val="es-ES_tradnl"/>
        </w:rPr>
        <w:t>mitopoético</w:t>
      </w:r>
      <w:proofErr w:type="spellEnd"/>
      <w:r w:rsidRPr="006225F4">
        <w:rPr>
          <w:rFonts w:ascii="Century Gothic" w:hAnsi="Century Gothic"/>
          <w:lang w:val="es-ES_tradnl"/>
        </w:rPr>
        <w:t>, un primate capaz de elaborar y crear mitos” (</w:t>
      </w:r>
      <w:proofErr w:type="spellStart"/>
      <w:r w:rsidR="00060956">
        <w:rPr>
          <w:rFonts w:ascii="Century Gothic" w:hAnsi="Century Gothic"/>
          <w:lang w:val="es-ES_tradnl"/>
        </w:rPr>
        <w:t>Lévi</w:t>
      </w:r>
      <w:proofErr w:type="spellEnd"/>
      <w:r w:rsidR="00060956">
        <w:rPr>
          <w:rFonts w:ascii="Century Gothic" w:hAnsi="Century Gothic"/>
          <w:lang w:val="es-ES_tradnl"/>
        </w:rPr>
        <w:t>-Strauss</w:t>
      </w:r>
      <w:r w:rsidRPr="006225F4">
        <w:rPr>
          <w:rFonts w:ascii="Century Gothic" w:hAnsi="Century Gothic"/>
          <w:lang w:val="es-ES_tradnl"/>
        </w:rPr>
        <w:t>, 2002).</w:t>
      </w: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Así pues, la sociedad, su estructura y su funcionamiento cohesionado dependen tanto de factores materiales como de lo que Durkheim conceptuó —sin apelar al inconsciente colectivo y a su irracionalidad— como conciencia colectiva, esto es, el conjunto de creencias y sentimientos compartidos por los individuos de una sociedad. Cuando esta conciencia colectiva, se deteriora porque las aspiraciones individuales divergen de las colectivas se produce el fenómeno de la anomia, la ausencia de orientación común a causa de la pérdida del principio estructurante, cohesionador. El imaginario colectivo —y dentro de él, los mitos— tendría el importante papel de “pegamento social” y a la vez de “lubricante” en la maquinaria de la colectividad, que permitiría su correcto funcionamiento en el presente y su proyección en el futuro. </w:t>
      </w:r>
    </w:p>
    <w:p w:rsidR="0057324B" w:rsidRDefault="0057324B" w:rsidP="0057324B">
      <w:pPr>
        <w:spacing w:line="276" w:lineRule="auto"/>
        <w:jc w:val="center"/>
        <w:rPr>
          <w:rFonts w:ascii="Century Gothic" w:hAnsi="Century Gothic"/>
          <w:lang w:val="es-ES_tradnl"/>
        </w:rPr>
      </w:pPr>
      <w:r>
        <w:rPr>
          <w:rFonts w:ascii="Century Gothic" w:hAnsi="Century Gothic"/>
          <w:noProof/>
          <w:lang w:eastAsia="es-ES"/>
        </w:rPr>
        <w:lastRenderedPageBreak/>
        <w:drawing>
          <wp:inline distT="0" distB="0" distL="0" distR="0" wp14:anchorId="3BFA9F01" wp14:editId="18B2CF58">
            <wp:extent cx="3685611" cy="2677488"/>
            <wp:effectExtent l="0" t="0" r="0" b="254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1024px-Kadmos_dragon_Louvre_E707.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691463" cy="2681740"/>
                    </a:xfrm>
                    <a:prstGeom prst="rect">
                      <a:avLst/>
                    </a:prstGeom>
                  </pic:spPr>
                </pic:pic>
              </a:graphicData>
            </a:graphic>
          </wp:inline>
        </w:drawing>
      </w:r>
    </w:p>
    <w:p w:rsidR="004E7A3A"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Yendo aún más allá de la función reguladora del imaginario social y siguiendo a Cornelius </w:t>
      </w:r>
      <w:proofErr w:type="spellStart"/>
      <w:r w:rsidRPr="006225F4">
        <w:rPr>
          <w:rFonts w:ascii="Century Gothic" w:hAnsi="Century Gothic"/>
          <w:lang w:val="es-ES_tradnl"/>
        </w:rPr>
        <w:t>Castoriadis</w:t>
      </w:r>
      <w:proofErr w:type="spellEnd"/>
      <w:r w:rsidRPr="006225F4">
        <w:rPr>
          <w:rFonts w:ascii="Century Gothic" w:hAnsi="Century Gothic"/>
          <w:lang w:val="es-ES_tradnl"/>
        </w:rPr>
        <w:t>, “toda sociedad (como todo ser vivo o toda especie viva) instaura, crea su propio mundo en el que evidentemente ella está incluida”; no solo la sociedad “</w:t>
      </w:r>
      <w:r w:rsidRPr="006225F4">
        <w:rPr>
          <w:rFonts w:ascii="Century Gothic" w:hAnsi="Century Gothic"/>
          <w:i/>
          <w:iCs/>
          <w:lang w:val="es-ES_tradnl"/>
        </w:rPr>
        <w:t xml:space="preserve">contiene </w:t>
      </w:r>
      <w:r w:rsidRPr="006225F4">
        <w:rPr>
          <w:rFonts w:ascii="Century Gothic" w:hAnsi="Century Gothic"/>
          <w:lang w:val="es-ES_tradnl"/>
        </w:rPr>
        <w:t>un sistema de interpretación del mundo”, sino que “</w:t>
      </w:r>
      <w:r w:rsidRPr="006225F4">
        <w:rPr>
          <w:rFonts w:ascii="Century Gothic" w:hAnsi="Century Gothic"/>
          <w:i/>
          <w:iCs/>
          <w:lang w:val="es-ES_tradnl"/>
        </w:rPr>
        <w:t xml:space="preserve">es </w:t>
      </w:r>
      <w:r w:rsidRPr="006225F4">
        <w:rPr>
          <w:rFonts w:ascii="Century Gothic" w:hAnsi="Century Gothic"/>
          <w:lang w:val="es-ES_tradnl"/>
        </w:rPr>
        <w:t xml:space="preserve">un sistema de interpretación del mundo [...]. Toda sociedad es una construcción, una constitución, creación de un mundo, de su propio mundo. Su propia identidad no es otra cosa que ese </w:t>
      </w:r>
      <w:r w:rsidRPr="006225F4">
        <w:rPr>
          <w:rFonts w:ascii="Century Gothic" w:hAnsi="Century Gothic"/>
          <w:i/>
          <w:iCs/>
          <w:lang w:val="es-ES_tradnl"/>
        </w:rPr>
        <w:t>sistema de interpretación</w:t>
      </w:r>
      <w:r w:rsidRPr="006225F4">
        <w:rPr>
          <w:rFonts w:ascii="Century Gothic" w:hAnsi="Century Gothic"/>
          <w:lang w:val="es-ES_tradnl"/>
        </w:rPr>
        <w:t>, ese mundo que ella crea” (</w:t>
      </w:r>
      <w:proofErr w:type="spellStart"/>
      <w:r w:rsidRPr="006225F4">
        <w:rPr>
          <w:rFonts w:ascii="Century Gothic" w:hAnsi="Century Gothic"/>
          <w:lang w:val="es-ES_tradnl"/>
        </w:rPr>
        <w:t>Ardévol</w:t>
      </w:r>
      <w:proofErr w:type="spellEnd"/>
      <w:r w:rsidRPr="006225F4">
        <w:rPr>
          <w:rFonts w:ascii="Century Gothic" w:hAnsi="Century Gothic"/>
          <w:lang w:val="es-ES_tradnl"/>
        </w:rPr>
        <w:t xml:space="preserve">, E.; </w:t>
      </w:r>
      <w:proofErr w:type="spellStart"/>
      <w:r w:rsidRPr="006225F4">
        <w:rPr>
          <w:rFonts w:ascii="Century Gothic" w:hAnsi="Century Gothic"/>
          <w:lang w:val="es-ES_tradnl"/>
        </w:rPr>
        <w:t>Muntañola</w:t>
      </w:r>
      <w:proofErr w:type="spellEnd"/>
      <w:r w:rsidRPr="006225F4">
        <w:rPr>
          <w:rFonts w:ascii="Century Gothic" w:hAnsi="Century Gothic"/>
          <w:lang w:val="es-ES_tradnl"/>
        </w:rPr>
        <w:t>, N., 2002).</w:t>
      </w:r>
    </w:p>
    <w:p w:rsidR="00FB51E0" w:rsidRPr="00FB51E0" w:rsidRDefault="00FB51E0" w:rsidP="00C76C6D">
      <w:pPr>
        <w:spacing w:line="276" w:lineRule="auto"/>
        <w:rPr>
          <w:rFonts w:ascii="Century Gothic" w:hAnsi="Century Gothic"/>
          <w:b/>
          <w:lang w:val="es-ES_tradnl"/>
        </w:rPr>
      </w:pPr>
      <w:r w:rsidRPr="00FB51E0">
        <w:rPr>
          <w:rFonts w:ascii="Century Gothic" w:hAnsi="Century Gothic"/>
          <w:b/>
          <w:lang w:val="es-ES_tradnl"/>
        </w:rPr>
        <w:t>Mito y sociedad</w:t>
      </w:r>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Dado que las sociedades y su cultura son algo vivo, cambiante, las convenciones y los mitos también sufren transformaciones, pero el mito, como principio de identidad y constructivo, aunque puede cambiar su “envoltorio”, su forma, para adaptarse a las transformaciones sociales no puede desvincularse de su carga simbólica, de su significado, pues es consustancial a la sociedad misma. Así, aunque ciertos autores hablan de la necesidad esencial de novedad que caracteriza al psiquismo humano, en esta afirmación podemos detectar el peso de la visión occidental del mundo, con un tiempo lineal que progresa del pasado al futuro. Sin embargo, en otras culturas, como la egipcia o china antiguas, la “necesidad de novedad” entraría en conflicto con una concepción de la realidad distinta y se hablaría mas bien, de una necesidad de estabilidad.</w:t>
      </w:r>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Tendremos, a la luz de lo anterior, unas expresiones míticas de tipo oral, textual, gráfico o, como en el caso </w:t>
      </w:r>
      <w:r w:rsidR="008A55CB">
        <w:rPr>
          <w:rFonts w:ascii="Century Gothic" w:hAnsi="Century Gothic"/>
          <w:lang w:val="es-ES_tradnl"/>
        </w:rPr>
        <w:t xml:space="preserve">de </w:t>
      </w:r>
      <w:proofErr w:type="spellStart"/>
      <w:r w:rsidR="008A55CB" w:rsidRPr="008A55CB">
        <w:rPr>
          <w:rFonts w:ascii="Century Gothic" w:hAnsi="Century Gothic"/>
          <w:i/>
          <w:lang w:val="es-ES_tradnl"/>
        </w:rPr>
        <w:t>Matrix</w:t>
      </w:r>
      <w:proofErr w:type="spellEnd"/>
      <w:r w:rsidRPr="006225F4">
        <w:rPr>
          <w:rFonts w:ascii="Century Gothic" w:hAnsi="Century Gothic"/>
          <w:lang w:val="es-ES_tradnl"/>
        </w:rPr>
        <w:t xml:space="preserve">, audiovisual, fílmico, que variarán en función de la cultura y del momento temporal que se elija. J. Benet nos dice que “el mito, como la ciencia, es un esfuerzo de reconstrucción pero a diferencia de ésta, se sitúa decidida y obstinadamente en el terreno de lo imaginario, del que ni siquiera el </w:t>
      </w:r>
      <w:proofErr w:type="spellStart"/>
      <w:r w:rsidRPr="006225F4">
        <w:rPr>
          <w:rFonts w:ascii="Century Gothic" w:hAnsi="Century Gothic"/>
          <w:lang w:val="es-ES_tradnl"/>
        </w:rPr>
        <w:t>antimito</w:t>
      </w:r>
      <w:proofErr w:type="spellEnd"/>
      <w:r w:rsidRPr="006225F4">
        <w:rPr>
          <w:rFonts w:ascii="Century Gothic" w:hAnsi="Century Gothic"/>
          <w:lang w:val="es-ES_tradnl"/>
        </w:rPr>
        <w:t xml:space="preserve"> [...] puede desalojarlo; no tiene refutación posible, si gracias a su palingenésica movilidad puede ser alimentado en cada estación cultural con contenidos actuales que aceptan un mismo tratamiento narrativo, entra por sus propios fueros en el terreno de lo ‘real’ entendido a la manera de Kant como formando parte del contexto unificado de la experiencia, como un todo contenido de la intuición empírica determinado por leyes universales” (</w:t>
      </w:r>
      <w:proofErr w:type="spellStart"/>
      <w:r w:rsidRPr="006225F4">
        <w:rPr>
          <w:rFonts w:ascii="Century Gothic" w:hAnsi="Century Gothic"/>
          <w:lang w:val="es-ES_tradnl"/>
        </w:rPr>
        <w:t>Ardévol</w:t>
      </w:r>
      <w:proofErr w:type="spellEnd"/>
      <w:r w:rsidRPr="006225F4">
        <w:rPr>
          <w:rFonts w:ascii="Century Gothic" w:hAnsi="Century Gothic"/>
          <w:lang w:val="es-ES_tradnl"/>
        </w:rPr>
        <w:t xml:space="preserve">, E.; </w:t>
      </w:r>
      <w:proofErr w:type="spellStart"/>
      <w:r w:rsidRPr="006225F4">
        <w:rPr>
          <w:rFonts w:ascii="Century Gothic" w:hAnsi="Century Gothic"/>
          <w:lang w:val="es-ES_tradnl"/>
        </w:rPr>
        <w:t>Muntañola</w:t>
      </w:r>
      <w:proofErr w:type="spellEnd"/>
      <w:r w:rsidRPr="006225F4">
        <w:rPr>
          <w:rFonts w:ascii="Century Gothic" w:hAnsi="Century Gothic"/>
          <w:lang w:val="es-ES_tradnl"/>
        </w:rPr>
        <w:t>, N., 2002).</w:t>
      </w: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lastRenderedPageBreak/>
        <w:t xml:space="preserve">Los productos culturales, por su parte, reflejarán las convenciones y mitos de una </w:t>
      </w:r>
      <w:r w:rsidR="008A55CB">
        <w:rPr>
          <w:rFonts w:ascii="Century Gothic" w:hAnsi="Century Gothic"/>
          <w:lang w:val="es-ES_tradnl"/>
        </w:rPr>
        <w:t>sociedad</w:t>
      </w:r>
      <w:r w:rsidRPr="006225F4">
        <w:rPr>
          <w:rFonts w:ascii="Century Gothic" w:hAnsi="Century Gothic"/>
          <w:lang w:val="es-ES_tradnl"/>
        </w:rPr>
        <w:t xml:space="preserve"> en un momento dado, en una estación cultural dada, independientemente de la intención de su(s) creador(es). Los mitos son, pues, continuamente re-presentados, re-traídos con la finalidad consciente o inconsciente de mantener la cohesión y paliar la anomia social.</w:t>
      </w:r>
    </w:p>
    <w:p w:rsidR="00B632CC" w:rsidRDefault="0057324B" w:rsidP="0057324B">
      <w:pPr>
        <w:spacing w:line="276" w:lineRule="auto"/>
        <w:jc w:val="center"/>
        <w:rPr>
          <w:rFonts w:ascii="Century Gothic" w:hAnsi="Century Gothic"/>
          <w:lang w:val="es-ES_tradnl"/>
        </w:rPr>
      </w:pPr>
      <w:r>
        <w:rPr>
          <w:rFonts w:ascii="Century Gothic" w:hAnsi="Century Gothic"/>
          <w:noProof/>
          <w:lang w:eastAsia="es-ES"/>
        </w:rPr>
        <w:drawing>
          <wp:inline distT="0" distB="0" distL="0" distR="0">
            <wp:extent cx="1917700" cy="2870200"/>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Matrix.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917700" cy="2870200"/>
                    </a:xfrm>
                    <a:prstGeom prst="rect">
                      <a:avLst/>
                    </a:prstGeom>
                  </pic:spPr>
                </pic:pic>
              </a:graphicData>
            </a:graphic>
          </wp:inline>
        </w:drawing>
      </w:r>
    </w:p>
    <w:p w:rsidR="00FB51E0" w:rsidRPr="00FB51E0" w:rsidRDefault="00FB51E0" w:rsidP="00C76C6D">
      <w:pPr>
        <w:spacing w:line="276" w:lineRule="auto"/>
        <w:rPr>
          <w:rFonts w:ascii="Century Gothic" w:hAnsi="Century Gothic"/>
          <w:b/>
          <w:lang w:val="es-ES_tradnl"/>
        </w:rPr>
      </w:pPr>
      <w:r w:rsidRPr="00FB51E0">
        <w:rPr>
          <w:rFonts w:ascii="Century Gothic" w:hAnsi="Century Gothic"/>
          <w:b/>
          <w:lang w:val="es-ES_tradnl"/>
        </w:rPr>
        <w:t>¿Qué es lo real?</w:t>
      </w: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En </w:t>
      </w:r>
      <w:proofErr w:type="spellStart"/>
      <w:r w:rsidRPr="006225F4">
        <w:rPr>
          <w:rFonts w:ascii="Century Gothic" w:hAnsi="Century Gothic"/>
          <w:i/>
          <w:iCs/>
          <w:lang w:val="es-ES_tradnl"/>
        </w:rPr>
        <w:t>Matrix</w:t>
      </w:r>
      <w:proofErr w:type="spellEnd"/>
      <w:r w:rsidRPr="006225F4">
        <w:rPr>
          <w:rFonts w:ascii="Century Gothic" w:hAnsi="Century Gothic"/>
          <w:i/>
          <w:iCs/>
          <w:lang w:val="es-ES_tradnl"/>
        </w:rPr>
        <w:t xml:space="preserve">, </w:t>
      </w:r>
      <w:r w:rsidRPr="006225F4">
        <w:rPr>
          <w:rFonts w:ascii="Century Gothic" w:hAnsi="Century Gothic"/>
          <w:lang w:val="es-ES_tradnl"/>
        </w:rPr>
        <w:t>un producto cultural audiovisual del cambio al segundo milenio (1999),</w:t>
      </w:r>
      <w:r w:rsidRPr="006225F4">
        <w:rPr>
          <w:rFonts w:ascii="Century Gothic" w:hAnsi="Century Gothic"/>
          <w:i/>
          <w:iCs/>
          <w:lang w:val="es-ES_tradnl"/>
        </w:rPr>
        <w:t xml:space="preserve"> </w:t>
      </w:r>
      <w:r w:rsidRPr="006225F4">
        <w:rPr>
          <w:rFonts w:ascii="Century Gothic" w:hAnsi="Century Gothic"/>
          <w:lang w:val="es-ES_tradnl"/>
        </w:rPr>
        <w:t xml:space="preserve">encontramos varios de los problemas religiosos, metafísicos y filosóficos que han preocupado y preocupan a todas las sociedades, especialmente el tema de la realidad. Calderón de la Barca lo trató en su obra dramática </w:t>
      </w:r>
      <w:r w:rsidRPr="006225F4">
        <w:rPr>
          <w:rFonts w:ascii="Century Gothic" w:hAnsi="Century Gothic"/>
          <w:i/>
          <w:iCs/>
          <w:lang w:val="es-ES_tradnl"/>
        </w:rPr>
        <w:t>La vida es sueño</w:t>
      </w:r>
      <w:r w:rsidRPr="006225F4">
        <w:rPr>
          <w:rFonts w:ascii="Century Gothic" w:hAnsi="Century Gothic"/>
          <w:lang w:val="es-ES_tradnl"/>
        </w:rPr>
        <w:t xml:space="preserve">, donde Segismundo no sabía si era un rey que soñaba que era un reo o un reo que se soñaba rey; Descartes planteó —si bien retóricamente— la hipótesis del “genio maligno” en sus </w:t>
      </w:r>
      <w:r w:rsidRPr="006225F4">
        <w:rPr>
          <w:rFonts w:ascii="Century Gothic" w:hAnsi="Century Gothic"/>
          <w:i/>
          <w:iCs/>
          <w:lang w:val="es-ES_tradnl"/>
        </w:rPr>
        <w:t xml:space="preserve">Meditaciones filosóficas; </w:t>
      </w:r>
      <w:r w:rsidRPr="006225F4">
        <w:rPr>
          <w:rFonts w:ascii="Century Gothic" w:hAnsi="Century Gothic"/>
          <w:lang w:val="es-ES_tradnl"/>
        </w:rPr>
        <w:t xml:space="preserve">y mucho antes, Platón formuló la cuestión en su conocido mito de la caverna. En esta película el mito platónico se viste con ropajes de fotogramas y formas sintéticas para sustentar toda la obra. </w:t>
      </w:r>
      <w:proofErr w:type="spellStart"/>
      <w:r w:rsidRPr="006225F4">
        <w:rPr>
          <w:rFonts w:ascii="Century Gothic" w:hAnsi="Century Gothic"/>
          <w:i/>
          <w:iCs/>
          <w:lang w:val="es-ES_tradnl"/>
        </w:rPr>
        <w:t>Matrix</w:t>
      </w:r>
      <w:proofErr w:type="spellEnd"/>
      <w:r w:rsidRPr="006225F4">
        <w:rPr>
          <w:rFonts w:ascii="Century Gothic" w:hAnsi="Century Gothic"/>
          <w:i/>
          <w:iCs/>
          <w:lang w:val="es-ES_tradnl"/>
        </w:rPr>
        <w:t xml:space="preserve"> </w:t>
      </w:r>
      <w:r w:rsidRPr="006225F4">
        <w:rPr>
          <w:rFonts w:ascii="Century Gothic" w:hAnsi="Century Gothic"/>
          <w:lang w:val="es-ES_tradnl"/>
        </w:rPr>
        <w:t>es la transposición cibernética de la caverna, donde se alimenta a los humanos con unas percepciones ficticias, pero tan “reales como la vida misma”.</w:t>
      </w:r>
    </w:p>
    <w:p w:rsidR="00B632CC" w:rsidRDefault="00B632CC" w:rsidP="00B632CC">
      <w:pPr>
        <w:spacing w:line="276" w:lineRule="auto"/>
        <w:jc w:val="center"/>
        <w:rPr>
          <w:rFonts w:ascii="Century Gothic" w:hAnsi="Century Gothic"/>
          <w:lang w:val="es-ES_tradnl"/>
        </w:rPr>
      </w:pPr>
      <w:r>
        <w:rPr>
          <w:rFonts w:ascii="Century Gothic" w:hAnsi="Century Gothic"/>
          <w:noProof/>
          <w:lang w:eastAsia="es-ES"/>
        </w:rPr>
        <w:drawing>
          <wp:inline distT="0" distB="0" distL="0" distR="0">
            <wp:extent cx="3763710" cy="2292442"/>
            <wp:effectExtent l="0" t="0" r="0" b="635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La_vida_es_sueño,_en_el_35_Festival_Internacional_del_Teatro_Clásico_(16).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770184" cy="2296385"/>
                    </a:xfrm>
                    <a:prstGeom prst="rect">
                      <a:avLst/>
                    </a:prstGeom>
                  </pic:spPr>
                </pic:pic>
              </a:graphicData>
            </a:graphic>
          </wp:inline>
        </w:drawing>
      </w:r>
    </w:p>
    <w:p w:rsid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lastRenderedPageBreak/>
        <w:t xml:space="preserve">Al inicio del film, ya Neo tiene la sensación de vivir un sueño, una existencia irreal. Nos habla Juan Antonio Rivera de “lo difícil que puede ser en ocasiones diferenciar entre un mundo ilusorio (pero que se nos presenta con la misma fuerza y viveza que el real) y el mundo auténtico. Heráclito, un filósofo griego que vivió en el siglo VI a. C. y de cuyos escritos solo nos han llegado fragmentos, decía en uno de ellos: «Los despiertos comparten un mundo único y común, mientras que cada uno de los que duermen se encierra en su mundo particular». ¿Cómo sabemos distinguir el mundo real del soñado? Decimos que hemos soñado porque despertamos y, al despertar, las experiencias alucinadas durante el sueño se desvanecen. Además, como sostenía Heráclito, esas experiencias son privadas; nos damos cuenta, al comentar nuestros sueños con otros, de que los demás no las han tenido. </w:t>
      </w:r>
      <w:proofErr w:type="spellStart"/>
      <w:r w:rsidRPr="006225F4">
        <w:rPr>
          <w:rFonts w:ascii="Century Gothic" w:hAnsi="Century Gothic"/>
          <w:i/>
          <w:iCs/>
          <w:lang w:val="es-ES_tradnl"/>
        </w:rPr>
        <w:t>Matrix</w:t>
      </w:r>
      <w:proofErr w:type="spellEnd"/>
      <w:r w:rsidRPr="006225F4">
        <w:rPr>
          <w:rFonts w:ascii="Century Gothic" w:hAnsi="Century Gothic"/>
          <w:lang w:val="es-ES_tradnl"/>
        </w:rPr>
        <w:t xml:space="preserve"> es una fábrica de sueños especial, porque la alucinación es compartida y porque la mayor parte de las personas no despiertan nunca de ella. Por ambos motivos, el mundo dentro de </w:t>
      </w:r>
      <w:proofErr w:type="spellStart"/>
      <w:r w:rsidRPr="006225F4">
        <w:rPr>
          <w:rFonts w:ascii="Century Gothic" w:hAnsi="Century Gothic"/>
          <w:i/>
          <w:iCs/>
          <w:lang w:val="es-ES_tradnl"/>
        </w:rPr>
        <w:t>Matrix</w:t>
      </w:r>
      <w:proofErr w:type="spellEnd"/>
      <w:r w:rsidRPr="006225F4">
        <w:rPr>
          <w:rFonts w:ascii="Century Gothic" w:hAnsi="Century Gothic"/>
          <w:lang w:val="es-ES_tradnl"/>
        </w:rPr>
        <w:t xml:space="preserve"> es indiferenciable de la realidad” (Rivera, 2003).</w:t>
      </w:r>
    </w:p>
    <w:p w:rsidR="006225F4" w:rsidRPr="006225F4" w:rsidRDefault="006225F4" w:rsidP="005A265C">
      <w:pPr>
        <w:spacing w:line="276" w:lineRule="auto"/>
        <w:jc w:val="both"/>
        <w:rPr>
          <w:rFonts w:ascii="Century Gothic" w:hAnsi="Century Gothic"/>
          <w:lang w:val="es-ES_tradnl"/>
        </w:rPr>
      </w:pPr>
      <w:r w:rsidRPr="006225F4">
        <w:rPr>
          <w:rFonts w:ascii="Century Gothic" w:hAnsi="Century Gothic"/>
          <w:lang w:val="es-ES_tradnl"/>
        </w:rPr>
        <w:t xml:space="preserve">Aquellos que han escapado de </w:t>
      </w:r>
      <w:proofErr w:type="spellStart"/>
      <w:r w:rsidRPr="006225F4">
        <w:rPr>
          <w:rFonts w:ascii="Century Gothic" w:hAnsi="Century Gothic"/>
          <w:i/>
          <w:iCs/>
          <w:lang w:val="es-ES_tradnl"/>
        </w:rPr>
        <w:t>Matrix</w:t>
      </w:r>
      <w:proofErr w:type="spellEnd"/>
      <w:r w:rsidRPr="006225F4">
        <w:rPr>
          <w:rFonts w:ascii="Century Gothic" w:hAnsi="Century Gothic"/>
          <w:i/>
          <w:iCs/>
          <w:lang w:val="es-ES_tradnl"/>
        </w:rPr>
        <w:t xml:space="preserve"> </w:t>
      </w:r>
      <w:r w:rsidRPr="006225F4">
        <w:rPr>
          <w:rFonts w:ascii="Century Gothic" w:hAnsi="Century Gothic"/>
          <w:lang w:val="es-ES_tradnl"/>
        </w:rPr>
        <w:t>equivalen al prisionero que se desencadena, sale de la cueva y ve la luz de sol. Para Platón, estos serían los filósofos, aquellos que saben diferenciar el mundo aparente de la realidad auténtica, cuya presencia pasa inadvertida para la mayoría, siempre dormida, “encadenada”.</w:t>
      </w:r>
    </w:p>
    <w:p w:rsidR="005A265C" w:rsidRDefault="005A265C">
      <w:pPr>
        <w:spacing w:before="0"/>
        <w:rPr>
          <w:rFonts w:ascii="Century Gothic" w:hAnsi="Century Gothic"/>
          <w:lang w:val="es-ES_tradnl"/>
        </w:rPr>
      </w:pPr>
      <w:r>
        <w:rPr>
          <w:rFonts w:ascii="Century Gothic" w:hAnsi="Century Gothic"/>
          <w:lang w:val="es-ES_tradnl"/>
        </w:rPr>
        <w:br w:type="page"/>
      </w:r>
    </w:p>
    <w:p w:rsidR="006225F4" w:rsidRPr="00007360" w:rsidRDefault="006225F4" w:rsidP="003425C5">
      <w:pPr>
        <w:spacing w:line="276" w:lineRule="auto"/>
        <w:rPr>
          <w:rFonts w:ascii="Century Gothic" w:hAnsi="Century Gothic"/>
          <w:sz w:val="24"/>
        </w:rPr>
      </w:pPr>
      <w:r w:rsidRPr="00007360">
        <w:rPr>
          <w:rFonts w:ascii="Century Gothic" w:hAnsi="Century Gothic"/>
          <w:b/>
          <w:bCs/>
          <w:sz w:val="24"/>
        </w:rPr>
        <w:lastRenderedPageBreak/>
        <w:t>Bibliografía</w:t>
      </w:r>
    </w:p>
    <w:p w:rsidR="005345A5" w:rsidRPr="006225F4" w:rsidRDefault="005345A5" w:rsidP="005A265C">
      <w:pPr>
        <w:spacing w:line="276" w:lineRule="auto"/>
        <w:rPr>
          <w:rFonts w:ascii="Century Gothic" w:hAnsi="Century Gothic"/>
          <w:lang w:val="ca-ES"/>
        </w:rPr>
      </w:pPr>
      <w:proofErr w:type="spellStart"/>
      <w:r w:rsidRPr="006225F4">
        <w:rPr>
          <w:rFonts w:ascii="Century Gothic" w:hAnsi="Century Gothic"/>
          <w:lang w:val="ca-ES"/>
        </w:rPr>
        <w:t>Ardévol</w:t>
      </w:r>
      <w:proofErr w:type="spellEnd"/>
      <w:r w:rsidRPr="006225F4">
        <w:rPr>
          <w:rFonts w:ascii="Century Gothic" w:hAnsi="Century Gothic"/>
          <w:lang w:val="ca-ES"/>
        </w:rPr>
        <w:t xml:space="preserve">, E.; </w:t>
      </w:r>
      <w:proofErr w:type="spellStart"/>
      <w:r w:rsidRPr="006225F4">
        <w:rPr>
          <w:rFonts w:ascii="Century Gothic" w:hAnsi="Century Gothic"/>
          <w:lang w:val="ca-ES"/>
        </w:rPr>
        <w:t>Muntañola</w:t>
      </w:r>
      <w:proofErr w:type="spellEnd"/>
      <w:r w:rsidRPr="006225F4">
        <w:rPr>
          <w:rFonts w:ascii="Century Gothic" w:hAnsi="Century Gothic"/>
          <w:lang w:val="ca-ES"/>
        </w:rPr>
        <w:t xml:space="preserve">, N., </w:t>
      </w:r>
      <w:r w:rsidRPr="006225F4">
        <w:rPr>
          <w:rFonts w:ascii="Century Gothic" w:hAnsi="Century Gothic"/>
          <w:i/>
          <w:iCs/>
          <w:lang w:val="ca-ES"/>
        </w:rPr>
        <w:t xml:space="preserve">Imatge i Cultura, La representació visual en les societats contemporànies, </w:t>
      </w:r>
      <w:r w:rsidRPr="006225F4">
        <w:rPr>
          <w:rFonts w:ascii="Century Gothic" w:hAnsi="Century Gothic"/>
          <w:lang w:val="ca-ES"/>
        </w:rPr>
        <w:t>Fundació per a la Universitat Oberta de Catalunya, Barcelona, 2002</w:t>
      </w:r>
    </w:p>
    <w:p w:rsidR="005345A5" w:rsidRDefault="005345A5" w:rsidP="005A265C">
      <w:pPr>
        <w:spacing w:line="276" w:lineRule="auto"/>
        <w:rPr>
          <w:rFonts w:ascii="Century Gothic" w:hAnsi="Century Gothic"/>
          <w:i/>
          <w:iCs/>
        </w:rPr>
      </w:pPr>
      <w:r w:rsidRPr="00A542D6">
        <w:rPr>
          <w:rFonts w:ascii="Century Gothic" w:hAnsi="Century Gothic"/>
          <w:iCs/>
        </w:rPr>
        <w:t>Durand, G.,</w:t>
      </w:r>
      <w:r w:rsidRPr="00A542D6">
        <w:rPr>
          <w:rFonts w:ascii="Century Gothic" w:hAnsi="Century Gothic"/>
          <w:i/>
          <w:iCs/>
        </w:rPr>
        <w:t xml:space="preserve"> Mitos y sociedades. Introducción a la </w:t>
      </w:r>
      <w:proofErr w:type="spellStart"/>
      <w:r w:rsidRPr="00A542D6">
        <w:rPr>
          <w:rFonts w:ascii="Century Gothic" w:hAnsi="Century Gothic"/>
          <w:i/>
          <w:iCs/>
        </w:rPr>
        <w:t>mitodolog</w:t>
      </w:r>
      <w:r>
        <w:rPr>
          <w:rFonts w:ascii="Century Gothic" w:hAnsi="Century Gothic"/>
          <w:i/>
          <w:iCs/>
        </w:rPr>
        <w:t>í</w:t>
      </w:r>
      <w:r w:rsidRPr="00A542D6">
        <w:rPr>
          <w:rFonts w:ascii="Century Gothic" w:hAnsi="Century Gothic"/>
          <w:i/>
          <w:iCs/>
        </w:rPr>
        <w:t>a</w:t>
      </w:r>
      <w:proofErr w:type="spellEnd"/>
      <w:r>
        <w:rPr>
          <w:rFonts w:ascii="Century Gothic" w:hAnsi="Century Gothic"/>
          <w:i/>
          <w:iCs/>
        </w:rPr>
        <w:t>.</w:t>
      </w:r>
      <w:r w:rsidRPr="00410062">
        <w:rPr>
          <w:rFonts w:ascii="Century Gothic" w:hAnsi="Century Gothic"/>
          <w:iCs/>
        </w:rPr>
        <w:t xml:space="preserve"> </w:t>
      </w:r>
      <w:proofErr w:type="spellStart"/>
      <w:r w:rsidR="00806D2D" w:rsidRPr="00410062">
        <w:rPr>
          <w:rFonts w:ascii="Century Gothic" w:hAnsi="Century Gothic"/>
          <w:iCs/>
        </w:rPr>
        <w:t>Biblos</w:t>
      </w:r>
      <w:proofErr w:type="spellEnd"/>
      <w:r w:rsidR="00806D2D">
        <w:rPr>
          <w:rFonts w:ascii="Century Gothic" w:hAnsi="Century Gothic"/>
          <w:iCs/>
        </w:rPr>
        <w:t>,</w:t>
      </w:r>
      <w:r w:rsidR="00806D2D">
        <w:rPr>
          <w:rFonts w:ascii="Century Gothic" w:hAnsi="Century Gothic"/>
          <w:iCs/>
        </w:rPr>
        <w:t xml:space="preserve"> </w:t>
      </w:r>
      <w:r w:rsidRPr="00410062">
        <w:rPr>
          <w:rFonts w:ascii="Century Gothic" w:hAnsi="Century Gothic"/>
          <w:iCs/>
        </w:rPr>
        <w:t>Buenos Aires, 2003</w:t>
      </w:r>
      <w:bookmarkStart w:id="0" w:name="_GoBack"/>
      <w:bookmarkEnd w:id="0"/>
    </w:p>
    <w:p w:rsidR="005345A5" w:rsidRPr="00AC7E27" w:rsidRDefault="005345A5" w:rsidP="005A265C">
      <w:pPr>
        <w:spacing w:line="276" w:lineRule="auto"/>
        <w:rPr>
          <w:rFonts w:ascii="Century Gothic" w:hAnsi="Century Gothic"/>
          <w:i/>
          <w:iCs/>
        </w:rPr>
      </w:pPr>
      <w:proofErr w:type="spellStart"/>
      <w:r w:rsidRPr="00410062">
        <w:rPr>
          <w:rFonts w:ascii="Century Gothic" w:hAnsi="Century Gothic"/>
          <w:iCs/>
        </w:rPr>
        <w:t>Lévi</w:t>
      </w:r>
      <w:proofErr w:type="spellEnd"/>
      <w:r w:rsidRPr="00410062">
        <w:rPr>
          <w:rFonts w:ascii="Century Gothic" w:hAnsi="Century Gothic"/>
          <w:iCs/>
        </w:rPr>
        <w:t xml:space="preserve">-Strauss, C., </w:t>
      </w:r>
      <w:r w:rsidRPr="00410062">
        <w:rPr>
          <w:rFonts w:ascii="Century Gothic" w:hAnsi="Century Gothic"/>
          <w:i/>
          <w:iCs/>
        </w:rPr>
        <w:t xml:space="preserve">Mito y significado. </w:t>
      </w:r>
      <w:r w:rsidR="00806D2D" w:rsidRPr="00410062">
        <w:rPr>
          <w:rFonts w:ascii="Century Gothic" w:hAnsi="Century Gothic"/>
          <w:iCs/>
        </w:rPr>
        <w:t>Alianza Editorial</w:t>
      </w:r>
      <w:r w:rsidR="00806D2D">
        <w:rPr>
          <w:rFonts w:ascii="Century Gothic" w:hAnsi="Century Gothic"/>
          <w:iCs/>
        </w:rPr>
        <w:t>,</w:t>
      </w:r>
      <w:r w:rsidR="00806D2D" w:rsidRPr="00410062">
        <w:rPr>
          <w:rFonts w:ascii="Century Gothic" w:hAnsi="Century Gothic"/>
          <w:iCs/>
        </w:rPr>
        <w:t xml:space="preserve"> </w:t>
      </w:r>
      <w:r w:rsidRPr="00410062">
        <w:rPr>
          <w:rFonts w:ascii="Century Gothic" w:hAnsi="Century Gothic"/>
          <w:iCs/>
        </w:rPr>
        <w:t>Madrid, 2002</w:t>
      </w:r>
    </w:p>
    <w:p w:rsidR="005345A5" w:rsidRPr="006225F4" w:rsidRDefault="005345A5" w:rsidP="005A265C">
      <w:pPr>
        <w:spacing w:line="276" w:lineRule="auto"/>
        <w:rPr>
          <w:rFonts w:ascii="Century Gothic" w:hAnsi="Century Gothic"/>
          <w:lang w:val="es-ES_tradnl"/>
        </w:rPr>
      </w:pPr>
      <w:r w:rsidRPr="006225F4">
        <w:rPr>
          <w:rFonts w:ascii="Century Gothic" w:hAnsi="Century Gothic"/>
          <w:lang w:val="es-ES_tradnl"/>
        </w:rPr>
        <w:t xml:space="preserve">Platón, </w:t>
      </w:r>
      <w:r w:rsidRPr="006225F4">
        <w:rPr>
          <w:rFonts w:ascii="Century Gothic" w:hAnsi="Century Gothic"/>
          <w:i/>
          <w:iCs/>
          <w:lang w:val="es-ES_tradnl"/>
        </w:rPr>
        <w:t>La República o El Estado</w:t>
      </w:r>
      <w:r w:rsidRPr="006225F4">
        <w:rPr>
          <w:rFonts w:ascii="Century Gothic" w:hAnsi="Century Gothic"/>
          <w:lang w:val="es-ES_tradnl"/>
        </w:rPr>
        <w:t>. Libro VII, Austral, Madrid, 2003</w:t>
      </w:r>
    </w:p>
    <w:p w:rsidR="005345A5" w:rsidRDefault="005345A5" w:rsidP="005A265C">
      <w:pPr>
        <w:spacing w:line="276" w:lineRule="auto"/>
        <w:rPr>
          <w:rFonts w:ascii="Century Gothic" w:hAnsi="Century Gothic"/>
        </w:rPr>
      </w:pPr>
      <w:r w:rsidRPr="006225F4">
        <w:rPr>
          <w:rFonts w:ascii="Century Gothic" w:hAnsi="Century Gothic"/>
        </w:rPr>
        <w:t xml:space="preserve">Rivera, J. A., </w:t>
      </w:r>
      <w:r w:rsidRPr="006225F4">
        <w:rPr>
          <w:rFonts w:ascii="Century Gothic" w:hAnsi="Century Gothic"/>
          <w:i/>
          <w:iCs/>
        </w:rPr>
        <w:t>Lo que Sócrates diría a Woody Allen. Cine y Filosofía, capítulos 16 - 17, La preferencia ética por vivir en un mundo real</w:t>
      </w:r>
      <w:r w:rsidRPr="006225F4">
        <w:rPr>
          <w:rFonts w:ascii="Century Gothic" w:hAnsi="Century Gothic"/>
        </w:rPr>
        <w:t>, Espasa, Madrid, 2003</w:t>
      </w:r>
    </w:p>
    <w:p w:rsidR="005345A5" w:rsidRDefault="005345A5" w:rsidP="005A265C">
      <w:pPr>
        <w:spacing w:line="276" w:lineRule="auto"/>
        <w:rPr>
          <w:rFonts w:ascii="Century Gothic" w:hAnsi="Century Gothic"/>
        </w:rPr>
      </w:pPr>
      <w:r w:rsidRPr="005A265C">
        <w:rPr>
          <w:rFonts w:ascii="Century Gothic" w:hAnsi="Century Gothic"/>
          <w:lang w:val="es-ES_tradnl"/>
        </w:rPr>
        <w:t>Sánchez Noriega,</w:t>
      </w:r>
      <w:r>
        <w:rPr>
          <w:rFonts w:ascii="Century Gothic" w:hAnsi="Century Gothic"/>
          <w:lang w:val="es-ES_tradnl"/>
        </w:rPr>
        <w:t xml:space="preserve"> J.L.,</w:t>
      </w:r>
      <w:r w:rsidRPr="005A265C">
        <w:rPr>
          <w:rFonts w:ascii="Century Gothic" w:hAnsi="Century Gothic"/>
          <w:lang w:val="es-ES_tradnl"/>
        </w:rPr>
        <w:t xml:space="preserve"> </w:t>
      </w:r>
      <w:r w:rsidRPr="005A265C">
        <w:rPr>
          <w:rFonts w:ascii="Century Gothic" w:hAnsi="Century Gothic"/>
          <w:i/>
          <w:iCs/>
          <w:lang w:val="es-ES_tradnl"/>
        </w:rPr>
        <w:t xml:space="preserve">Rituales de seducción en la </w:t>
      </w:r>
      <w:proofErr w:type="spellStart"/>
      <w:r w:rsidRPr="005A265C">
        <w:rPr>
          <w:rFonts w:ascii="Century Gothic" w:hAnsi="Century Gothic"/>
          <w:i/>
          <w:iCs/>
          <w:lang w:val="es-ES_tradnl"/>
        </w:rPr>
        <w:t>neotelevisión</w:t>
      </w:r>
      <w:proofErr w:type="spellEnd"/>
      <w:r>
        <w:rPr>
          <w:rFonts w:ascii="Century Gothic" w:hAnsi="Century Gothic"/>
          <w:i/>
          <w:iCs/>
          <w:lang w:val="es-ES_tradnl"/>
        </w:rPr>
        <w:t>,</w:t>
      </w:r>
      <w:r w:rsidRPr="006225F4">
        <w:rPr>
          <w:rFonts w:ascii="Century Gothic" w:hAnsi="Century Gothic"/>
        </w:rPr>
        <w:t xml:space="preserve"> </w:t>
      </w:r>
      <w:r>
        <w:rPr>
          <w:rFonts w:ascii="Century Gothic" w:hAnsi="Century Gothic"/>
        </w:rPr>
        <w:t xml:space="preserve">en </w:t>
      </w:r>
      <w:r w:rsidRPr="005435AF">
        <w:rPr>
          <w:rFonts w:ascii="Century Gothic" w:hAnsi="Century Gothic"/>
        </w:rPr>
        <w:t>I Jornadas sobre Televisión</w:t>
      </w:r>
      <w:r>
        <w:rPr>
          <w:rFonts w:ascii="Century Gothic" w:hAnsi="Century Gothic"/>
        </w:rPr>
        <w:t>.</w:t>
      </w:r>
      <w:r w:rsidRPr="005435AF">
        <w:rPr>
          <w:rFonts w:ascii="Century Gothic" w:hAnsi="Century Gothic"/>
        </w:rPr>
        <w:t xml:space="preserve"> Instituto de Cultura y Tecnologías “Miguel de Unamuno”, Universidad Carlos III de Madrid, 1999</w:t>
      </w:r>
    </w:p>
    <w:p w:rsidR="005345A5" w:rsidRPr="006225F4" w:rsidRDefault="005345A5" w:rsidP="005A265C">
      <w:pPr>
        <w:spacing w:line="276" w:lineRule="auto"/>
        <w:rPr>
          <w:rFonts w:ascii="Century Gothic" w:hAnsi="Century Gothic"/>
        </w:rPr>
      </w:pPr>
      <w:r w:rsidRPr="005A265C">
        <w:rPr>
          <w:rFonts w:ascii="Century Gothic" w:hAnsi="Century Gothic"/>
        </w:rPr>
        <w:t xml:space="preserve">Selva, M.; </w:t>
      </w:r>
      <w:proofErr w:type="spellStart"/>
      <w:r w:rsidRPr="005A265C">
        <w:rPr>
          <w:rFonts w:ascii="Century Gothic" w:hAnsi="Century Gothic"/>
        </w:rPr>
        <w:t>Solà</w:t>
      </w:r>
      <w:proofErr w:type="spellEnd"/>
      <w:r w:rsidRPr="005A265C">
        <w:rPr>
          <w:rFonts w:ascii="Century Gothic" w:hAnsi="Century Gothic"/>
        </w:rPr>
        <w:t xml:space="preserve">, A., </w:t>
      </w:r>
      <w:proofErr w:type="spellStart"/>
      <w:r w:rsidRPr="005A265C">
        <w:rPr>
          <w:rFonts w:ascii="Century Gothic" w:hAnsi="Century Gothic"/>
          <w:i/>
          <w:iCs/>
        </w:rPr>
        <w:t>Modes</w:t>
      </w:r>
      <w:proofErr w:type="spellEnd"/>
      <w:r w:rsidRPr="005A265C">
        <w:rPr>
          <w:rFonts w:ascii="Century Gothic" w:hAnsi="Century Gothic"/>
          <w:i/>
          <w:iCs/>
        </w:rPr>
        <w:t xml:space="preserve"> de </w:t>
      </w:r>
      <w:proofErr w:type="spellStart"/>
      <w:r w:rsidRPr="005A265C">
        <w:rPr>
          <w:rFonts w:ascii="Century Gothic" w:hAnsi="Century Gothic"/>
          <w:i/>
          <w:iCs/>
        </w:rPr>
        <w:t>representació</w:t>
      </w:r>
      <w:proofErr w:type="spellEnd"/>
      <w:r w:rsidRPr="005A265C">
        <w:rPr>
          <w:rFonts w:ascii="Century Gothic" w:hAnsi="Century Gothic"/>
          <w:i/>
          <w:iCs/>
        </w:rPr>
        <w:t>,</w:t>
      </w:r>
      <w:r w:rsidRPr="005A265C">
        <w:rPr>
          <w:rFonts w:ascii="Century Gothic" w:hAnsi="Century Gothic"/>
        </w:rPr>
        <w:t xml:space="preserve"> en </w:t>
      </w:r>
      <w:proofErr w:type="spellStart"/>
      <w:r w:rsidRPr="005A265C">
        <w:rPr>
          <w:rFonts w:ascii="Century Gothic" w:hAnsi="Century Gothic"/>
          <w:i/>
          <w:iCs/>
        </w:rPr>
        <w:t>Imatge</w:t>
      </w:r>
      <w:proofErr w:type="spellEnd"/>
      <w:r w:rsidRPr="005A265C">
        <w:rPr>
          <w:rFonts w:ascii="Century Gothic" w:hAnsi="Century Gothic"/>
          <w:i/>
          <w:iCs/>
        </w:rPr>
        <w:t xml:space="preserve"> i Cultura</w:t>
      </w:r>
      <w:r>
        <w:rPr>
          <w:rFonts w:ascii="Century Gothic" w:hAnsi="Century Gothic"/>
        </w:rPr>
        <w:t xml:space="preserve">. </w:t>
      </w:r>
      <w:r w:rsidRPr="006225F4">
        <w:rPr>
          <w:rFonts w:ascii="Century Gothic" w:hAnsi="Century Gothic"/>
          <w:lang w:val="ca-ES"/>
        </w:rPr>
        <w:t>Fundació per a la Universitat Oberta de Catalunya, Barcelona, 2002</w:t>
      </w:r>
    </w:p>
    <w:p w:rsidR="006225F4" w:rsidRDefault="006225F4" w:rsidP="005A265C">
      <w:pPr>
        <w:spacing w:line="276" w:lineRule="auto"/>
        <w:jc w:val="both"/>
        <w:rPr>
          <w:rFonts w:ascii="Century Gothic" w:hAnsi="Century Gothic"/>
        </w:rPr>
      </w:pPr>
      <w:r w:rsidRPr="006225F4">
        <w:rPr>
          <w:rFonts w:ascii="Century Gothic" w:hAnsi="Century Gothic"/>
        </w:rPr>
        <w:br w:type="page"/>
      </w:r>
    </w:p>
    <w:p w:rsidR="00964C02" w:rsidRDefault="00964C02" w:rsidP="005A265C">
      <w:pPr>
        <w:spacing w:line="276" w:lineRule="auto"/>
        <w:jc w:val="both"/>
        <w:rPr>
          <w:rFonts w:ascii="Century Gothic" w:hAnsi="Century Gothic"/>
        </w:rPr>
      </w:pPr>
    </w:p>
    <w:p w:rsidR="00964C02" w:rsidRDefault="00964C02" w:rsidP="005A265C">
      <w:pPr>
        <w:spacing w:line="276" w:lineRule="auto"/>
        <w:jc w:val="both"/>
        <w:rPr>
          <w:rFonts w:ascii="Century Gothic" w:hAnsi="Century Gothic"/>
        </w:rPr>
      </w:pPr>
    </w:p>
    <w:p w:rsidR="006225F4" w:rsidRDefault="006225F4" w:rsidP="005A265C">
      <w:pPr>
        <w:spacing w:line="276" w:lineRule="auto"/>
        <w:jc w:val="both"/>
        <w:rPr>
          <w:rFonts w:ascii="Century Gothic" w:hAnsi="Century Gothic"/>
        </w:rPr>
      </w:pPr>
    </w:p>
    <w:p w:rsidR="005C6CB9" w:rsidRPr="006225F4" w:rsidRDefault="005C6CB9" w:rsidP="005A265C">
      <w:pPr>
        <w:spacing w:line="276" w:lineRule="auto"/>
        <w:jc w:val="both"/>
        <w:rPr>
          <w:rFonts w:ascii="Century Gothic" w:hAnsi="Century Gothic"/>
        </w:rPr>
      </w:pPr>
    </w:p>
    <w:sectPr w:rsidR="005C6CB9" w:rsidRPr="006225F4" w:rsidSect="002F5F2E">
      <w:headerReference w:type="default" r:id="rId15"/>
      <w:footerReference w:type="default" r:id="rId16"/>
      <w:pgSz w:w="11900" w:h="16840"/>
      <w:pgMar w:top="1418" w:right="1701" w:bottom="1418"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7216" w:rsidRDefault="00347216" w:rsidP="00FB51E0">
      <w:pPr>
        <w:spacing w:before="0"/>
      </w:pPr>
      <w:r>
        <w:separator/>
      </w:r>
    </w:p>
    <w:p w:rsidR="00347216" w:rsidRDefault="00347216"/>
  </w:endnote>
  <w:endnote w:type="continuationSeparator" w:id="0">
    <w:p w:rsidR="00347216" w:rsidRDefault="00347216" w:rsidP="00FB51E0">
      <w:pPr>
        <w:spacing w:before="0"/>
      </w:pPr>
      <w:r>
        <w:continuationSeparator/>
      </w:r>
    </w:p>
    <w:p w:rsidR="00347216" w:rsidRDefault="003472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B51E0" w:rsidRPr="00FB51E0" w:rsidRDefault="00FB51E0" w:rsidP="00FB51E0">
    <w:pPr>
      <w:jc w:val="center"/>
      <w:rPr>
        <w:color w:val="4472C4" w:themeColor="accent1"/>
        <w:sz w:val="18"/>
      </w:rPr>
    </w:pPr>
    <w:r w:rsidRPr="00FB51E0">
      <w:rPr>
        <w:color w:val="4472C4" w:themeColor="accent1"/>
        <w:sz w:val="18"/>
      </w:rPr>
      <w:t xml:space="preserve">Página </w:t>
    </w:r>
    <w:r w:rsidRPr="00FB51E0">
      <w:rPr>
        <w:color w:val="4472C4" w:themeColor="accent1"/>
        <w:sz w:val="18"/>
      </w:rPr>
      <w:fldChar w:fldCharType="begin"/>
    </w:r>
    <w:r w:rsidRPr="00FB51E0">
      <w:rPr>
        <w:color w:val="4472C4" w:themeColor="accent1"/>
        <w:sz w:val="18"/>
      </w:rPr>
      <w:instrText>PAGE  \* Arabic  \* MERGEFORMAT</w:instrText>
    </w:r>
    <w:r w:rsidRPr="00FB51E0">
      <w:rPr>
        <w:color w:val="4472C4" w:themeColor="accent1"/>
        <w:sz w:val="18"/>
      </w:rPr>
      <w:fldChar w:fldCharType="separate"/>
    </w:r>
    <w:r w:rsidR="00F07D73">
      <w:rPr>
        <w:noProof/>
        <w:color w:val="4472C4" w:themeColor="accent1"/>
        <w:sz w:val="18"/>
      </w:rPr>
      <w:t>4</w:t>
    </w:r>
    <w:r w:rsidRPr="00FB51E0">
      <w:rPr>
        <w:color w:val="4472C4" w:themeColor="accent1"/>
        <w:sz w:val="18"/>
      </w:rPr>
      <w:fldChar w:fldCharType="end"/>
    </w:r>
    <w:r w:rsidRPr="00FB51E0">
      <w:rPr>
        <w:color w:val="4472C4" w:themeColor="accent1"/>
        <w:sz w:val="18"/>
      </w:rPr>
      <w:t xml:space="preserve"> de </w:t>
    </w:r>
    <w:r w:rsidRPr="00FB51E0">
      <w:rPr>
        <w:color w:val="4472C4" w:themeColor="accent1"/>
        <w:sz w:val="18"/>
      </w:rPr>
      <w:fldChar w:fldCharType="begin"/>
    </w:r>
    <w:r w:rsidRPr="00FB51E0">
      <w:rPr>
        <w:color w:val="4472C4" w:themeColor="accent1"/>
        <w:sz w:val="18"/>
      </w:rPr>
      <w:instrText>NUMPAGES  \* Arabic  \* MERGEFORMAT</w:instrText>
    </w:r>
    <w:r w:rsidRPr="00FB51E0">
      <w:rPr>
        <w:color w:val="4472C4" w:themeColor="accent1"/>
        <w:sz w:val="18"/>
      </w:rPr>
      <w:fldChar w:fldCharType="separate"/>
    </w:r>
    <w:r w:rsidR="00F07D73">
      <w:rPr>
        <w:noProof/>
        <w:color w:val="4472C4" w:themeColor="accent1"/>
        <w:sz w:val="18"/>
      </w:rPr>
      <w:t>11</w:t>
    </w:r>
    <w:r w:rsidRPr="00FB51E0">
      <w:rPr>
        <w:color w:val="4472C4" w:themeColor="accent1"/>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7216" w:rsidRDefault="00347216" w:rsidP="00FB51E0">
      <w:pPr>
        <w:spacing w:before="0"/>
      </w:pPr>
      <w:r>
        <w:separator/>
      </w:r>
    </w:p>
    <w:p w:rsidR="00347216" w:rsidRDefault="00347216"/>
  </w:footnote>
  <w:footnote w:type="continuationSeparator" w:id="0">
    <w:p w:rsidR="00347216" w:rsidRDefault="00347216" w:rsidP="00FB51E0">
      <w:pPr>
        <w:spacing w:before="0"/>
      </w:pPr>
      <w:r>
        <w:continuationSeparator/>
      </w:r>
    </w:p>
    <w:p w:rsidR="00347216" w:rsidRDefault="003472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7D73" w:rsidRPr="00F07D73" w:rsidRDefault="00F07D73" w:rsidP="00F07D73">
    <w:pPr>
      <w:pStyle w:val="Encabezado"/>
      <w:jc w:val="right"/>
      <w:rPr>
        <w:color w:val="4472C4" w:themeColor="accent1"/>
        <w:sz w:val="18"/>
      </w:rPr>
    </w:pPr>
    <w:r w:rsidRPr="00F07D73">
      <w:rPr>
        <w:color w:val="4472C4" w:themeColor="accent1"/>
        <w:sz w:val="18"/>
      </w:rPr>
      <w:t>Cine y Cultura – Año XII – Número 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F2E"/>
    <w:rsid w:val="000008C1"/>
    <w:rsid w:val="00000CF3"/>
    <w:rsid w:val="00007360"/>
    <w:rsid w:val="0002548B"/>
    <w:rsid w:val="00027CC2"/>
    <w:rsid w:val="00060956"/>
    <w:rsid w:val="000A3DE2"/>
    <w:rsid w:val="001B6519"/>
    <w:rsid w:val="001E09C8"/>
    <w:rsid w:val="0026159C"/>
    <w:rsid w:val="002617B4"/>
    <w:rsid w:val="0027628C"/>
    <w:rsid w:val="00296039"/>
    <w:rsid w:val="002F5F2E"/>
    <w:rsid w:val="003425C5"/>
    <w:rsid w:val="00347216"/>
    <w:rsid w:val="00365C15"/>
    <w:rsid w:val="003B43FF"/>
    <w:rsid w:val="003C72E4"/>
    <w:rsid w:val="003D63ED"/>
    <w:rsid w:val="00410062"/>
    <w:rsid w:val="00421107"/>
    <w:rsid w:val="00426038"/>
    <w:rsid w:val="00437593"/>
    <w:rsid w:val="004679B9"/>
    <w:rsid w:val="004E3595"/>
    <w:rsid w:val="004E7A3A"/>
    <w:rsid w:val="00511C6A"/>
    <w:rsid w:val="005345A5"/>
    <w:rsid w:val="005435AF"/>
    <w:rsid w:val="0057324B"/>
    <w:rsid w:val="00594542"/>
    <w:rsid w:val="005A265C"/>
    <w:rsid w:val="005C6CB9"/>
    <w:rsid w:val="005F0C6A"/>
    <w:rsid w:val="0061097B"/>
    <w:rsid w:val="00620418"/>
    <w:rsid w:val="006225F4"/>
    <w:rsid w:val="00626DE0"/>
    <w:rsid w:val="006A79FB"/>
    <w:rsid w:val="006B3542"/>
    <w:rsid w:val="006C0936"/>
    <w:rsid w:val="006E5918"/>
    <w:rsid w:val="007329DA"/>
    <w:rsid w:val="007C1E47"/>
    <w:rsid w:val="007D024E"/>
    <w:rsid w:val="00806D2D"/>
    <w:rsid w:val="00851632"/>
    <w:rsid w:val="00867EF4"/>
    <w:rsid w:val="008A55CB"/>
    <w:rsid w:val="008F2900"/>
    <w:rsid w:val="00900F3E"/>
    <w:rsid w:val="009041E2"/>
    <w:rsid w:val="00964C02"/>
    <w:rsid w:val="009B6098"/>
    <w:rsid w:val="00A02053"/>
    <w:rsid w:val="00A40321"/>
    <w:rsid w:val="00A542D6"/>
    <w:rsid w:val="00A6451D"/>
    <w:rsid w:val="00AC7E27"/>
    <w:rsid w:val="00AF0430"/>
    <w:rsid w:val="00B26E40"/>
    <w:rsid w:val="00B632CC"/>
    <w:rsid w:val="00BF2EA3"/>
    <w:rsid w:val="00C17055"/>
    <w:rsid w:val="00C76C6D"/>
    <w:rsid w:val="00CD13AA"/>
    <w:rsid w:val="00CD73ED"/>
    <w:rsid w:val="00CF5125"/>
    <w:rsid w:val="00D14835"/>
    <w:rsid w:val="00D17325"/>
    <w:rsid w:val="00D25446"/>
    <w:rsid w:val="00D96DF2"/>
    <w:rsid w:val="00DA5A7C"/>
    <w:rsid w:val="00DC203E"/>
    <w:rsid w:val="00DD39B3"/>
    <w:rsid w:val="00E05A0C"/>
    <w:rsid w:val="00E86537"/>
    <w:rsid w:val="00E9487C"/>
    <w:rsid w:val="00EB4DA6"/>
    <w:rsid w:val="00F07D73"/>
    <w:rsid w:val="00FB51E0"/>
    <w:rsid w:val="00FF35DA"/>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D82F76"/>
  <w15:chartTrackingRefBased/>
  <w15:docId w15:val="{6B5679A7-B9D3-7F40-80B3-8B64A3063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27CC2"/>
    <w:pPr>
      <w:spacing w:before="120"/>
    </w:pPr>
    <w:rPr>
      <w:sz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2">
    <w:name w:val="toc 2"/>
    <w:basedOn w:val="Normal"/>
    <w:next w:val="Normal"/>
    <w:autoRedefine/>
    <w:uiPriority w:val="39"/>
    <w:semiHidden/>
    <w:unhideWhenUsed/>
    <w:rsid w:val="00CD13AA"/>
    <w:pPr>
      <w:spacing w:after="100"/>
      <w:ind w:left="240"/>
    </w:pPr>
  </w:style>
  <w:style w:type="paragraph" w:styleId="TDC1">
    <w:name w:val="toc 1"/>
    <w:basedOn w:val="Normal"/>
    <w:next w:val="Normal"/>
    <w:autoRedefine/>
    <w:uiPriority w:val="39"/>
    <w:semiHidden/>
    <w:unhideWhenUsed/>
    <w:rsid w:val="00CD13AA"/>
    <w:pPr>
      <w:spacing w:after="100"/>
    </w:pPr>
  </w:style>
  <w:style w:type="character" w:styleId="Hipervnculo">
    <w:name w:val="Hyperlink"/>
    <w:basedOn w:val="Fuentedeprrafopredeter"/>
    <w:semiHidden/>
    <w:rsid w:val="006225F4"/>
    <w:rPr>
      <w:color w:val="0000FF"/>
      <w:u w:val="single"/>
    </w:rPr>
  </w:style>
  <w:style w:type="paragraph" w:styleId="Prrafodelista">
    <w:name w:val="List Paragraph"/>
    <w:basedOn w:val="Normal"/>
    <w:uiPriority w:val="34"/>
    <w:qFormat/>
    <w:rsid w:val="0027628C"/>
    <w:pPr>
      <w:ind w:left="720"/>
      <w:contextualSpacing/>
    </w:pPr>
  </w:style>
  <w:style w:type="character" w:styleId="Hipervnculovisitado">
    <w:name w:val="FollowedHyperlink"/>
    <w:basedOn w:val="Fuentedeprrafopredeter"/>
    <w:uiPriority w:val="99"/>
    <w:semiHidden/>
    <w:unhideWhenUsed/>
    <w:rsid w:val="006C0936"/>
    <w:rPr>
      <w:color w:val="954F72" w:themeColor="followedHyperlink"/>
      <w:u w:val="single"/>
    </w:rPr>
  </w:style>
  <w:style w:type="paragraph" w:styleId="Encabezado">
    <w:name w:val="header"/>
    <w:basedOn w:val="Normal"/>
    <w:link w:val="EncabezadoCar"/>
    <w:uiPriority w:val="99"/>
    <w:unhideWhenUsed/>
    <w:rsid w:val="00D14835"/>
    <w:pPr>
      <w:tabs>
        <w:tab w:val="center" w:pos="4252"/>
        <w:tab w:val="right" w:pos="8504"/>
      </w:tabs>
      <w:spacing w:before="0"/>
    </w:pPr>
  </w:style>
  <w:style w:type="character" w:customStyle="1" w:styleId="EncabezadoCar">
    <w:name w:val="Encabezado Car"/>
    <w:basedOn w:val="Fuentedeprrafopredeter"/>
    <w:link w:val="Encabezado"/>
    <w:uiPriority w:val="99"/>
    <w:rsid w:val="00D14835"/>
    <w:rPr>
      <w:sz w:val="20"/>
      <w:lang w:val="es-ES"/>
    </w:rPr>
  </w:style>
  <w:style w:type="paragraph" w:styleId="Piedepgina">
    <w:name w:val="footer"/>
    <w:basedOn w:val="Normal"/>
    <w:link w:val="PiedepginaCar"/>
    <w:uiPriority w:val="99"/>
    <w:unhideWhenUsed/>
    <w:rsid w:val="00D14835"/>
    <w:pPr>
      <w:tabs>
        <w:tab w:val="center" w:pos="4252"/>
        <w:tab w:val="right" w:pos="8504"/>
      </w:tabs>
      <w:spacing w:before="0"/>
    </w:pPr>
  </w:style>
  <w:style w:type="character" w:customStyle="1" w:styleId="PiedepginaCar">
    <w:name w:val="Pie de página Car"/>
    <w:basedOn w:val="Fuentedeprrafopredeter"/>
    <w:link w:val="Piedepgina"/>
    <w:uiPriority w:val="99"/>
    <w:rsid w:val="00D14835"/>
    <w:rPr>
      <w:sz w:val="20"/>
      <w:lang w:val="es-ES"/>
    </w:rPr>
  </w:style>
  <w:style w:type="character" w:styleId="Ttulodellibro">
    <w:name w:val="Book Title"/>
    <w:uiPriority w:val="33"/>
    <w:qFormat/>
    <w:rsid w:val="00426038"/>
    <w:rPr>
      <w:rFonts w:ascii="Century Gothic" w:hAnsi="Century Gothic"/>
      <w:b/>
      <w:color w:val="FFFFFF" w:themeColor="background1"/>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E644A-28A6-844D-98DC-492810E6F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426</TotalTime>
  <Pages>11</Pages>
  <Words>2331</Words>
  <Characters>12825</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Roca Arrufat</dc:creator>
  <cp:keywords/>
  <dc:description/>
  <cp:lastModifiedBy>Rafael Roca Arrufat</cp:lastModifiedBy>
  <cp:revision>31</cp:revision>
  <dcterms:created xsi:type="dcterms:W3CDTF">2020-05-04T10:09:00Z</dcterms:created>
  <dcterms:modified xsi:type="dcterms:W3CDTF">2020-05-20T11:12:00Z</dcterms:modified>
</cp:coreProperties>
</file>